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B7280"/>
          <w:sz w:val="19"/>
        </w:rPr>
        <w:t>ACLC COLLEGE OF BUKIDNON</w:t>
        <w:br/>
        <w:t>College of Computer Studies — Bachelor of Science in Information Technology (BSIT)</w:t>
      </w:r>
    </w:p>
    <w:p>
      <w:pPr>
        <w:spacing w:before="320" w:after="80"/>
        <w:jc w:val="center"/>
      </w:pPr>
      <w:r>
        <w:rPr>
          <w:rFonts w:ascii="Arial" w:hAnsi="Arial"/>
          <w:b/>
          <w:color w:val="2E261F"/>
          <w:sz w:val="36"/>
        </w:rPr>
        <w:t>AMAYA’S DRINKS AND BITES:</w:t>
        <w:br/>
        <w:t>POINT OF SALE AND SALES MONITORING SYSTEM</w:t>
      </w:r>
    </w:p>
    <w:p>
      <w:pPr>
        <w:spacing w:before="80" w:after="280"/>
        <w:jc w:val="center"/>
      </w:pPr>
      <w:r>
        <w:rPr>
          <w:rFonts w:ascii="Arial" w:hAnsi="Arial"/>
          <w:b/>
          <w:color w:val="8B5E3C"/>
          <w:sz w:val="23"/>
        </w:rPr>
        <w:t>Comprehensive System Updates, Engineering Architecture &amp; Illustrated Upgrade Documentation</w:t>
      </w:r>
    </w:p>
    <w:tbl>
      <w:tblPr>
        <w:tblW w:type="auto" w:w="0"/>
        <w:jc w:val="center"/>
        <w:tblLayout w:type="fixed"/>
        <w:tblLook w:firstColumn="1" w:firstRow="1" w:lastColumn="0" w:lastRow="0" w:noHBand="0" w:noVBand="1" w:val="04A0"/>
      </w:tblPr>
      <w:tblGrid>
        <w:gridCol w:w="3168"/>
        <w:gridCol w:w="6192"/>
      </w:tblGrid>
      <w:tr>
        <w:tc>
          <w:tcPr>
            <w:tcW w:type="dxa" w:w="4680"/>
            <w:shd w:fill="F2E7E0"/>
            <w:tcMar>
              <w:top w:w="50" w:type="dxa"/>
              <w:bottom w:w="50" w:type="dxa"/>
              <w:left w:w="90" w:type="dxa"/>
              <w:right w:w="90" w:type="dxa"/>
            </w:tcMar>
          </w:tcPr>
          <w:p>
            <w:pPr>
              <w:spacing w:before="0" w:after="0"/>
            </w:pPr>
            <w:r>
              <w:rPr>
                <w:rFonts w:ascii="Arial" w:hAnsi="Arial"/>
                <w:b/>
                <w:color w:val="2E261F"/>
                <w:sz w:val="17"/>
              </w:rPr>
              <w:t>Document Classification:</w:t>
            </w:r>
          </w:p>
        </w:tc>
        <w:tc>
          <w:tcPr>
            <w:tcW w:type="dxa" w:w="4680"/>
            <w:shd w:fill="FFFFFF"/>
            <w:tcMar>
              <w:top w:w="50" w:type="dxa"/>
              <w:bottom w:w="50" w:type="dxa"/>
              <w:left w:w="90" w:type="dxa"/>
              <w:right w:w="90" w:type="dxa"/>
            </w:tcMar>
          </w:tcPr>
          <w:p>
            <w:pPr>
              <w:spacing w:before="0" w:after="0"/>
            </w:pPr>
            <w:r>
              <w:rPr>
                <w:rFonts w:ascii="Arial" w:hAnsi="Arial"/>
                <w:color w:val="1F2937"/>
                <w:sz w:val="17"/>
              </w:rPr>
              <w:t>Illustrated Engineering Upgrade Record (2026)</w:t>
            </w:r>
          </w:p>
        </w:tc>
      </w:tr>
      <w:tr>
        <w:tc>
          <w:tcPr>
            <w:tcW w:type="dxa" w:w="4680"/>
            <w:shd w:fill="FAF7F4"/>
            <w:tcMar>
              <w:top w:w="50" w:type="dxa"/>
              <w:bottom w:w="50" w:type="dxa"/>
              <w:left w:w="90" w:type="dxa"/>
              <w:right w:w="90" w:type="dxa"/>
            </w:tcMar>
          </w:tcPr>
          <w:p>
            <w:pPr>
              <w:spacing w:before="0" w:after="0"/>
            </w:pPr>
            <w:r>
              <w:rPr>
                <w:rFonts w:ascii="Arial" w:hAnsi="Arial"/>
                <w:b/>
                <w:color w:val="2E261F"/>
                <w:sz w:val="17"/>
              </w:rPr>
              <w:t>Lead Maintainer &amp; Programmer:</w:t>
            </w:r>
          </w:p>
        </w:tc>
        <w:tc>
          <w:tcPr>
            <w:tcW w:type="dxa" w:w="4680"/>
            <w:shd w:fill="FDFCFB"/>
            <w:tcMar>
              <w:top w:w="50" w:type="dxa"/>
              <w:bottom w:w="50" w:type="dxa"/>
              <w:left w:w="90" w:type="dxa"/>
              <w:right w:w="90" w:type="dxa"/>
            </w:tcMar>
          </w:tcPr>
          <w:p>
            <w:pPr>
              <w:spacing w:before="0" w:after="0"/>
            </w:pPr>
            <w:r>
              <w:rPr>
                <w:rFonts w:ascii="Arial" w:hAnsi="Arial"/>
                <w:b/>
                <w:color w:val="1F2937"/>
                <w:sz w:val="17"/>
              </w:rPr>
              <w:t>Ken (@Fushitowa)</w:t>
            </w:r>
          </w:p>
        </w:tc>
      </w:tr>
      <w:tr>
        <w:tc>
          <w:tcPr>
            <w:tcW w:type="dxa" w:w="4680"/>
            <w:shd w:fill="F2E7E0"/>
            <w:tcMar>
              <w:top w:w="50" w:type="dxa"/>
              <w:bottom w:w="50" w:type="dxa"/>
              <w:left w:w="90" w:type="dxa"/>
              <w:right w:w="90" w:type="dxa"/>
            </w:tcMar>
          </w:tcPr>
          <w:p>
            <w:pPr>
              <w:spacing w:before="0" w:after="0"/>
            </w:pPr>
            <w:r>
              <w:rPr>
                <w:rFonts w:ascii="Arial" w:hAnsi="Arial"/>
                <w:b/>
                <w:color w:val="2E261F"/>
                <w:sz w:val="17"/>
              </w:rPr>
              <w:t>Helper &amp; Contributor:</w:t>
            </w:r>
          </w:p>
        </w:tc>
        <w:tc>
          <w:tcPr>
            <w:tcW w:type="dxa" w:w="4680"/>
            <w:shd w:fill="FFFFFF"/>
            <w:tcMar>
              <w:top w:w="50" w:type="dxa"/>
              <w:bottom w:w="50" w:type="dxa"/>
              <w:left w:w="90" w:type="dxa"/>
              <w:right w:w="90" w:type="dxa"/>
            </w:tcMar>
          </w:tcPr>
          <w:p>
            <w:pPr>
              <w:spacing w:before="0" w:after="0"/>
            </w:pPr>
            <w:r>
              <w:rPr>
                <w:rFonts w:ascii="Arial" w:hAnsi="Arial"/>
                <w:b/>
                <w:color w:val="1F2937"/>
                <w:sz w:val="17"/>
              </w:rPr>
              <w:t>Markie</w:t>
            </w:r>
          </w:p>
        </w:tc>
      </w:tr>
      <w:tr>
        <w:tc>
          <w:tcPr>
            <w:tcW w:type="dxa" w:w="4680"/>
            <w:shd w:fill="FAF7F4"/>
            <w:tcMar>
              <w:top w:w="50" w:type="dxa"/>
              <w:bottom w:w="50" w:type="dxa"/>
              <w:left w:w="90" w:type="dxa"/>
              <w:right w:w="90" w:type="dxa"/>
            </w:tcMar>
          </w:tcPr>
          <w:p>
            <w:pPr>
              <w:spacing w:before="0" w:after="0"/>
            </w:pPr>
            <w:r>
              <w:rPr>
                <w:rFonts w:ascii="Arial" w:hAnsi="Arial"/>
                <w:b/>
                <w:color w:val="2E261F"/>
                <w:sz w:val="17"/>
              </w:rPr>
              <w:t>Project:</w:t>
            </w:r>
          </w:p>
        </w:tc>
        <w:tc>
          <w:tcPr>
            <w:tcW w:type="dxa" w:w="4680"/>
            <w:shd w:fill="FDFCFB"/>
            <w:tcMar>
              <w:top w:w="50" w:type="dxa"/>
              <w:bottom w:w="50" w:type="dxa"/>
              <w:left w:w="90" w:type="dxa"/>
              <w:right w:w="90" w:type="dxa"/>
            </w:tcMar>
          </w:tcPr>
          <w:p>
            <w:pPr>
              <w:spacing w:before="0" w:after="0"/>
            </w:pPr>
            <w:r>
              <w:rPr>
                <w:rFonts w:ascii="Arial" w:hAnsi="Arial"/>
                <w:color w:val="1F2937"/>
                <w:sz w:val="17"/>
              </w:rPr>
              <w:t>Amaya's Drinks and Bites POS &amp; Inventory System</w:t>
            </w:r>
          </w:p>
        </w:tc>
      </w:tr>
      <w:tr>
        <w:tc>
          <w:tcPr>
            <w:tcW w:type="dxa" w:w="4680"/>
            <w:shd w:fill="F2E7E0"/>
            <w:tcMar>
              <w:top w:w="50" w:type="dxa"/>
              <w:bottom w:w="50" w:type="dxa"/>
              <w:left w:w="90" w:type="dxa"/>
              <w:right w:w="90" w:type="dxa"/>
            </w:tcMar>
          </w:tcPr>
          <w:p>
            <w:pPr>
              <w:spacing w:before="0" w:after="0"/>
            </w:pPr>
            <w:r>
              <w:rPr>
                <w:rFonts w:ascii="Arial" w:hAnsi="Arial"/>
                <w:b/>
                <w:color w:val="2E261F"/>
                <w:sz w:val="17"/>
              </w:rPr>
              <w:t>Date of Full Audit &amp; Verification:</w:t>
            </w:r>
          </w:p>
        </w:tc>
        <w:tc>
          <w:tcPr>
            <w:tcW w:type="dxa" w:w="4680"/>
            <w:shd w:fill="FFFFFF"/>
            <w:tcMar>
              <w:top w:w="50" w:type="dxa"/>
              <w:bottom w:w="50" w:type="dxa"/>
              <w:left w:w="90" w:type="dxa"/>
              <w:right w:w="90" w:type="dxa"/>
            </w:tcMar>
          </w:tcPr>
          <w:p>
            <w:pPr>
              <w:spacing w:before="0" w:after="0"/>
            </w:pPr>
            <w:r>
              <w:rPr>
                <w:rFonts w:ascii="Arial" w:hAnsi="Arial"/>
                <w:color w:val="1F2937"/>
                <w:sz w:val="17"/>
              </w:rPr>
              <w:t>October 19, 2026</w:t>
            </w:r>
          </w:p>
        </w:tc>
      </w:tr>
      <w:tr>
        <w:tc>
          <w:tcPr>
            <w:tcW w:type="dxa" w:w="4680"/>
            <w:shd w:fill="FAF7F4"/>
            <w:tcMar>
              <w:top w:w="50" w:type="dxa"/>
              <w:bottom w:w="50" w:type="dxa"/>
              <w:left w:w="90" w:type="dxa"/>
              <w:right w:w="90" w:type="dxa"/>
            </w:tcMar>
          </w:tcPr>
          <w:p>
            <w:pPr>
              <w:spacing w:before="0" w:after="0"/>
            </w:pPr>
            <w:r>
              <w:rPr>
                <w:rFonts w:ascii="Arial" w:hAnsi="Arial"/>
                <w:b/>
                <w:color w:val="2E261F"/>
                <w:sz w:val="17"/>
              </w:rPr>
              <w:t>Repository:</w:t>
            </w:r>
          </w:p>
        </w:tc>
        <w:tc>
          <w:tcPr>
            <w:tcW w:type="dxa" w:w="4680"/>
            <w:shd w:fill="FDFCFB"/>
            <w:tcMar>
              <w:top w:w="50" w:type="dxa"/>
              <w:bottom w:w="50" w:type="dxa"/>
              <w:left w:w="90" w:type="dxa"/>
              <w:right w:w="90" w:type="dxa"/>
            </w:tcMar>
          </w:tcPr>
          <w:p>
            <w:pPr>
              <w:spacing w:before="0" w:after="0"/>
            </w:pPr>
            <w:r>
              <w:rPr>
                <w:rFonts w:ascii="Arial" w:hAnsi="Arial"/>
                <w:color w:val="1F2937"/>
                <w:sz w:val="17"/>
              </w:rPr>
              <w:t>https://github.com/Fushitowa/amaya.git</w:t>
            </w:r>
          </w:p>
        </w:tc>
      </w:tr>
    </w:tbl>
    <w:p>
      <w:pPr>
        <w:spacing w:after="200"/>
      </w:pPr>
    </w:p>
    <w:p>
      <w:pPr>
        <w:keepNext/>
        <w:spacing w:before="280" w:after="120"/>
      </w:pPr>
      <w:r>
        <w:rPr>
          <w:rFonts w:ascii="Arial" w:hAnsi="Arial"/>
          <w:b/>
          <w:color w:val="2E261F"/>
          <w:sz w:val="26"/>
        </w:rPr>
        <w:t>1. EXECUTIVE SUMMARY &amp; UPGRADE OVERVIEW</w:t>
      </w:r>
    </w:p>
    <w:p>
      <w:r>
        <w:t>This engineering report provides an exhaustive, verified record of all architectural improvements, bug fixes, database migrations, Python desktop automation tooling, and user-facing feature additions implemented across the Amaya’s Drinks and Bites Point of Sale (POS) and Sales Monitoring System. Developed for Amaya’s Drinks and Bites by Lead Developer Ken with contributions from Markie, the software automates daily retail counter order taking, kitchen order preparation tracking, culinary recipe-based ingredient inventory deduction, and multi-tier sales reporting.</w:t>
      </w:r>
    </w:p>
    <w:p>
      <w:pPr>
        <w:spacing w:before="160" w:after="60"/>
        <w:jc w:val="center"/>
      </w:pPr>
      <w:r>
        <w:drawing>
          <wp:inline xmlns:a="http://schemas.openxmlformats.org/drawingml/2006/main" xmlns:pic="http://schemas.openxmlformats.org/drawingml/2006/picture">
            <wp:extent cx="5852160" cy="2535936"/>
            <wp:docPr id="1" name="Picture 1"/>
            <wp:cNvGraphicFramePr>
              <a:graphicFrameLocks noChangeAspect="1"/>
            </wp:cNvGraphicFramePr>
            <a:graphic>
              <a:graphicData uri="http://schemas.openxmlformats.org/drawingml/2006/picture">
                <pic:pic>
                  <pic:nvPicPr>
                    <pic:cNvPr id="0" name="fig1_executive_evolution.png"/>
                    <pic:cNvPicPr/>
                  </pic:nvPicPr>
                  <pic:blipFill>
                    <a:blip r:embed="rId9"/>
                    <a:stretch>
                      <a:fillRect/>
                    </a:stretch>
                  </pic:blipFill>
                  <pic:spPr>
                    <a:xfrm>
                      <a:off x="0" y="0"/>
                      <a:ext cx="5852160" cy="2535936"/>
                    </a:xfrm>
                    <a:prstGeom prst="rect"/>
                  </pic:spPr>
                </pic:pic>
              </a:graphicData>
            </a:graphic>
          </wp:inline>
        </w:drawing>
      </w:r>
    </w:p>
    <w:p>
      <w:pPr>
        <w:spacing w:before="0" w:after="240"/>
        <w:jc w:val="center"/>
      </w:pPr>
      <w:r>
        <w:rPr>
          <w:rFonts w:ascii="Arial" w:hAnsi="Arial"/>
          <w:i/>
          <w:color w:val="6B7280"/>
          <w:sz w:val="18"/>
        </w:rPr>
        <w:t>Figure: Baseline Pain Points vs. Enhanced Production Architecture</w:t>
      </w:r>
    </w:p>
    <w:tbl>
      <w:tblPr>
        <w:tblW w:type="auto" w:w="0"/>
        <w:jc w:val="center"/>
        <w:tblLayout w:type="fixed"/>
        <w:tblLook w:firstColumn="1" w:firstRow="1" w:lastColumn="0" w:lastRow="0" w:noHBand="0" w:noVBand="1" w:val="04A0"/>
      </w:tblPr>
      <w:tblGrid>
        <w:gridCol w:w="9360"/>
      </w:tblGrid>
      <w:tr>
        <w:tc>
          <w:tcPr>
            <w:tcW w:type="dxa" w:w="9360"/>
            <w:shd w:fill="FAF7F4"/>
            <w:tcMar>
              <w:top w:w="140" w:type="dxa"/>
              <w:bottom w:w="140" w:type="dxa"/>
              <w:left w:w="180" w:type="dxa"/>
              <w:right w:w="160" w:type="dxa"/>
            </w:tcMar>
            <w:tcBorders>
              <w:top w:val="none"/>
              <w:left w:val="single" w:sz="24" w:space="0" w:color="8B5E3C"/>
              <w:bottom w:val="none"/>
              <w:right w:val="none"/>
            </w:tcBorders>
          </w:tcPr>
          <w:p>
            <w:pPr>
              <w:spacing w:before="0" w:after="80"/>
            </w:pPr>
            <w:r>
              <w:rPr>
                <w:rFonts w:ascii="Arial" w:hAnsi="Arial"/>
                <w:b/>
                <w:color w:val="2E261F"/>
                <w:sz w:val="21"/>
              </w:rPr>
              <w:t>📌 Key Upgrade Milestones at a Glance</w:t>
              <w:br/>
            </w:r>
            <w:r>
              <w:rPr>
                <w:rFonts w:ascii="Arial" w:hAnsi="Arial"/>
                <w:color w:val="4A3E35"/>
                <w:sz w:val="19"/>
              </w:rPr>
              <w:t>• Amaya Python Control Panel v2.0: One-click dual-stack IPv4/IPv6 port freeing, XAMPP MySQL auto-start, and multi-service process orchestration.</w:t>
              <w:br/>
              <w:t>• Collation &amp; Database Recovery: Resolved MariaDB 10.4 utf8mb4_0900_ai_ci crash, applied migrations 007 &amp; 008, and restored menu catalog visibility.</w:t>
              <w:br/>
              <w:t>• Dependency-Aware Inventory Management: Protected recipes, identified exact linked products ('Milk Tea'), and enabled safe test stock deletions.</w:t>
              <w:br/>
              <w:t>• 30-Day Safe Archive &amp; Audit Trail: Migration 009, soft-delete life-cycle, rolling hourly auto-purge worker, /admin/archive UI, and 1-click restore.</w:t>
              <w:br/>
              <w:t>• Account Security &amp; Access Credentials: Verified JWT authentication with active roles for Admin (admin) and Cashier/Staff (juan).</w:t>
            </w:r>
          </w:p>
        </w:tc>
      </w:tr>
    </w:tbl>
    <w:p>
      <w:pPr>
        <w:spacing w:after="120"/>
      </w:pPr>
    </w:p>
    <w:p>
      <w:pPr>
        <w:keepNext/>
        <w:spacing w:before="320" w:after="120"/>
      </w:pPr>
      <w:r>
        <w:rPr>
          <w:rFonts w:ascii="Arial" w:hAnsi="Arial"/>
          <w:b/>
          <w:color w:val="2E261F"/>
          <w:sz w:val="26"/>
        </w:rPr>
        <w:t>2. VERIFIED SYSTEM ARCHITECTURE &amp; TECH STACK</w:t>
      </w:r>
    </w:p>
    <w:p>
      <w:r>
        <w:t>The system operates across three decoupled, high-performance tiers running locally on the store terminal:</w:t>
      </w:r>
    </w:p>
    <w:p>
      <w:pPr>
        <w:spacing w:before="160" w:after="60"/>
        <w:jc w:val="center"/>
      </w:pPr>
      <w:r>
        <w:drawing>
          <wp:inline xmlns:a="http://schemas.openxmlformats.org/drawingml/2006/main" xmlns:pic="http://schemas.openxmlformats.org/drawingml/2006/picture">
            <wp:extent cx="5852160" cy="2438400"/>
            <wp:docPr id="2" name="Picture 2"/>
            <wp:cNvGraphicFramePr>
              <a:graphicFrameLocks noChangeAspect="1"/>
            </wp:cNvGraphicFramePr>
            <a:graphic>
              <a:graphicData uri="http://schemas.openxmlformats.org/drawingml/2006/picture">
                <pic:pic>
                  <pic:nvPicPr>
                    <pic:cNvPr id="0" name="fig2_system_topology.png"/>
                    <pic:cNvPicPr/>
                  </pic:nvPicPr>
                  <pic:blipFill>
                    <a:blip r:embed="rId10"/>
                    <a:stretch>
                      <a:fillRect/>
                    </a:stretch>
                  </pic:blipFill>
                  <pic:spPr>
                    <a:xfrm>
                      <a:off x="0" y="0"/>
                      <a:ext cx="5852160" cy="2438400"/>
                    </a:xfrm>
                    <a:prstGeom prst="rect"/>
                  </pic:spPr>
                </pic:pic>
              </a:graphicData>
            </a:graphic>
          </wp:inline>
        </w:drawing>
      </w:r>
    </w:p>
    <w:p>
      <w:pPr>
        <w:spacing w:before="0" w:after="240"/>
        <w:jc w:val="center"/>
      </w:pPr>
      <w:r>
        <w:rPr>
          <w:rFonts w:ascii="Arial" w:hAnsi="Arial"/>
          <w:i/>
          <w:color w:val="6B7280"/>
          <w:sz w:val="18"/>
        </w:rPr>
        <w:t>Figure: Multi-Tier Service Architecture and TCP Network Port Bindings</w:t>
      </w:r>
    </w:p>
    <w:p>
      <w:pPr>
        <w:keepNext/>
        <w:spacing w:before="320" w:after="120"/>
      </w:pPr>
      <w:r>
        <w:rPr>
          <w:rFonts w:ascii="Arial" w:hAnsi="Arial"/>
          <w:b/>
          <w:color w:val="2E261F"/>
          <w:sz w:val="26"/>
        </w:rPr>
        <w:t>3. UPGRADE PHASE 1: AMAYA PYTHON SERVICE CONTROL PANEL (v1.0 ➔ v2.0)</w:t>
      </w:r>
    </w:p>
    <w:p>
      <w:r>
        <w:t>To eliminate the operational complexity of launching multiple CMD windows and resolving zombie processes, the development team implemented a zero-dependency, single-file desktop management tool: amaya_control_panel.py accompanied by Start_Amaya_Control_Panel.bat.</w:t>
      </w:r>
    </w:p>
    <w:p>
      <w:pPr>
        <w:spacing w:before="160" w:after="60"/>
        <w:jc w:val="center"/>
      </w:pPr>
      <w:r>
        <w:drawing>
          <wp:inline xmlns:a="http://schemas.openxmlformats.org/drawingml/2006/main" xmlns:pic="http://schemas.openxmlformats.org/drawingml/2006/picture">
            <wp:extent cx="5852160" cy="2438400"/>
            <wp:docPr id="3" name="Picture 3"/>
            <wp:cNvGraphicFramePr>
              <a:graphicFrameLocks noChangeAspect="1"/>
            </wp:cNvGraphicFramePr>
            <a:graphic>
              <a:graphicData uri="http://schemas.openxmlformats.org/drawingml/2006/picture">
                <pic:pic>
                  <pic:nvPicPr>
                    <pic:cNvPr id="0" name="fig3_control_panel_lifecycle.png"/>
                    <pic:cNvPicPr/>
                  </pic:nvPicPr>
                  <pic:blipFill>
                    <a:blip r:embed="rId11"/>
                    <a:stretch>
                      <a:fillRect/>
                    </a:stretch>
                  </pic:blipFill>
                  <pic:spPr>
                    <a:xfrm>
                      <a:off x="0" y="0"/>
                      <a:ext cx="5852160" cy="2438400"/>
                    </a:xfrm>
                    <a:prstGeom prst="rect"/>
                  </pic:spPr>
                </pic:pic>
              </a:graphicData>
            </a:graphic>
          </wp:inline>
        </w:drawing>
      </w:r>
    </w:p>
    <w:p>
      <w:pPr>
        <w:spacing w:before="0" w:after="240"/>
        <w:jc w:val="center"/>
      </w:pPr>
      <w:r>
        <w:rPr>
          <w:rFonts w:ascii="Arial" w:hAnsi="Arial"/>
          <w:i/>
          <w:color w:val="6B7280"/>
          <w:sz w:val="18"/>
        </w:rPr>
        <w:t>Figure: Control Panel v2.0 Process Lifecycle, Dual-Stack Scans, and MySQL Management</w:t>
      </w:r>
    </w:p>
    <w:p>
      <w:pPr>
        <w:keepNext/>
        <w:spacing w:before="320" w:after="120"/>
      </w:pPr>
      <w:r>
        <w:rPr>
          <w:rFonts w:ascii="Arial" w:hAnsi="Arial"/>
          <w:b/>
          <w:color w:val="2E261F"/>
          <w:sz w:val="26"/>
        </w:rPr>
        <w:t>4. UPGRADE PHASE 2: MARIADB COLLATION INCOMPATIBILITY &amp; CATALOG RECOVERY</w:t>
      </w:r>
    </w:p>
    <w:p>
      <w:r>
        <w:t>During live testing of Admin Menu Management, the interface displayed a confusing state: the menu catalog rendered 'No menu items found' (0 items), yet attempting to delete an ingredient in Inventory prompted an error stating that an existing menu item was using it.</w:t>
      </w:r>
    </w:p>
    <w:p>
      <w:pPr>
        <w:spacing w:before="160" w:after="60"/>
        <w:jc w:val="center"/>
      </w:pPr>
      <w:r>
        <w:drawing>
          <wp:inline xmlns:a="http://schemas.openxmlformats.org/drawingml/2006/main" xmlns:pic="http://schemas.openxmlformats.org/drawingml/2006/picture">
            <wp:extent cx="5852160" cy="2438400"/>
            <wp:docPr id="4" name="Picture 4"/>
            <wp:cNvGraphicFramePr>
              <a:graphicFrameLocks noChangeAspect="1"/>
            </wp:cNvGraphicFramePr>
            <a:graphic>
              <a:graphicData uri="http://schemas.openxmlformats.org/drawingml/2006/picture">
                <pic:pic>
                  <pic:nvPicPr>
                    <pic:cNvPr id="0" name="fig4_collation_menu_fix.png"/>
                    <pic:cNvPicPr/>
                  </pic:nvPicPr>
                  <pic:blipFill>
                    <a:blip r:embed="rId12"/>
                    <a:stretch>
                      <a:fillRect/>
                    </a:stretch>
                  </pic:blipFill>
                  <pic:spPr>
                    <a:xfrm>
                      <a:off x="0" y="0"/>
                      <a:ext cx="5852160" cy="2438400"/>
                    </a:xfrm>
                    <a:prstGeom prst="rect"/>
                  </pic:spPr>
                </pic:pic>
              </a:graphicData>
            </a:graphic>
          </wp:inline>
        </w:drawing>
      </w:r>
    </w:p>
    <w:p>
      <w:pPr>
        <w:spacing w:before="0" w:after="240"/>
        <w:jc w:val="center"/>
      </w:pPr>
      <w:r>
        <w:rPr>
          <w:rFonts w:ascii="Arial" w:hAnsi="Arial"/>
          <w:i/>
          <w:color w:val="6B7280"/>
          <w:sz w:val="18"/>
        </w:rPr>
        <w:t>Figure: Forensic Root Cause Analysis of the Collation Bug and Complete Database Recovery</w:t>
      </w:r>
    </w:p>
    <w:p>
      <w:pPr>
        <w:keepNext/>
        <w:spacing w:before="320" w:after="120"/>
      </w:pPr>
      <w:r>
        <w:rPr>
          <w:rFonts w:ascii="Arial" w:hAnsi="Arial"/>
          <w:b/>
          <w:color w:val="2E261F"/>
          <w:sz w:val="26"/>
        </w:rPr>
        <w:t>5. UPGRADE PHASE 3: INTELLIGENT RECIPE-PROTECTED INVENTORY MANAGEMENT</w:t>
      </w:r>
    </w:p>
    <w:p>
      <w:r>
        <w:t>Ken's backend initially protected inventory items from deletion using foreign key safeguards. However, the user experience was opaque: attempting to delete an item yielded a generic message without indicating which menu products were blocking the deletion.</w:t>
      </w:r>
    </w:p>
    <w:p>
      <w:pPr>
        <w:spacing w:before="160" w:after="60"/>
        <w:jc w:val="center"/>
      </w:pPr>
      <w:r>
        <w:drawing>
          <wp:inline xmlns:a="http://schemas.openxmlformats.org/drawingml/2006/main" xmlns:pic="http://schemas.openxmlformats.org/drawingml/2006/picture">
            <wp:extent cx="5852160" cy="2340864"/>
            <wp:docPr id="5" name="Picture 5"/>
            <wp:cNvGraphicFramePr>
              <a:graphicFrameLocks noChangeAspect="1"/>
            </wp:cNvGraphicFramePr>
            <a:graphic>
              <a:graphicData uri="http://schemas.openxmlformats.org/drawingml/2006/picture">
                <pic:pic>
                  <pic:nvPicPr>
                    <pic:cNvPr id="0" name="fig5_inventory_protection.png"/>
                    <pic:cNvPicPr/>
                  </pic:nvPicPr>
                  <pic:blipFill>
                    <a:blip r:embed="rId13"/>
                    <a:stretch>
                      <a:fillRect/>
                    </a:stretch>
                  </pic:blipFill>
                  <pic:spPr>
                    <a:xfrm>
                      <a:off x="0" y="0"/>
                      <a:ext cx="5852160" cy="2340864"/>
                    </a:xfrm>
                    <a:prstGeom prst="rect"/>
                  </pic:spPr>
                </pic:pic>
              </a:graphicData>
            </a:graphic>
          </wp:inline>
        </w:drawing>
      </w:r>
    </w:p>
    <w:p>
      <w:pPr>
        <w:spacing w:before="0" w:after="240"/>
        <w:jc w:val="center"/>
      </w:pPr>
      <w:r>
        <w:rPr>
          <w:rFonts w:ascii="Arial" w:hAnsi="Arial"/>
          <w:i/>
          <w:color w:val="6B7280"/>
          <w:sz w:val="18"/>
        </w:rPr>
        <w:t>Figure: 3-Way SQL Recipe Dependency Safeguard and Test Stock Cleanup Isolation</w:t>
      </w:r>
    </w:p>
    <w:p>
      <w:pPr>
        <w:keepNext/>
        <w:spacing w:before="320" w:after="120"/>
      </w:pPr>
      <w:r>
        <w:rPr>
          <w:rFonts w:ascii="Arial" w:hAnsi="Arial"/>
          <w:b/>
          <w:color w:val="2E261F"/>
          <w:sz w:val="26"/>
        </w:rPr>
        <w:t>6. UPGRADE PHASE 4: 30-DAY TRASH ARCHIVE, AUTO-PURGE &amp; PERMANENT AUDIT LOGGING</w:t>
      </w:r>
    </w:p>
    <w:p>
      <w:r>
        <w:t>To provide a complete enterprise-grade safety net, the team designed and implemented a full 30-Day Soft-Delete Recycle Bin and permanent audit logging architecture across both menu items and inventory.</w:t>
      </w:r>
    </w:p>
    <w:p>
      <w:pPr>
        <w:spacing w:before="160" w:after="60"/>
        <w:jc w:val="center"/>
      </w:pPr>
      <w:r>
        <w:drawing>
          <wp:inline xmlns:a="http://schemas.openxmlformats.org/drawingml/2006/main" xmlns:pic="http://schemas.openxmlformats.org/drawingml/2006/picture">
            <wp:extent cx="5852160" cy="2535936"/>
            <wp:docPr id="6" name="Picture 6"/>
            <wp:cNvGraphicFramePr>
              <a:graphicFrameLocks noChangeAspect="1"/>
            </wp:cNvGraphicFramePr>
            <a:graphic>
              <a:graphicData uri="http://schemas.openxmlformats.org/drawingml/2006/picture">
                <pic:pic>
                  <pic:nvPicPr>
                    <pic:cNvPr id="0" name="fig6_archive_lifecycle.png"/>
                    <pic:cNvPicPr/>
                  </pic:nvPicPr>
                  <pic:blipFill>
                    <a:blip r:embed="rId14"/>
                    <a:stretch>
                      <a:fillRect/>
                    </a:stretch>
                  </pic:blipFill>
                  <pic:spPr>
                    <a:xfrm>
                      <a:off x="0" y="0"/>
                      <a:ext cx="5852160" cy="2535936"/>
                    </a:xfrm>
                    <a:prstGeom prst="rect"/>
                  </pic:spPr>
                </pic:pic>
              </a:graphicData>
            </a:graphic>
          </wp:inline>
        </w:drawing>
      </w:r>
    </w:p>
    <w:p>
      <w:pPr>
        <w:spacing w:before="0" w:after="240"/>
        <w:jc w:val="center"/>
      </w:pPr>
      <w:r>
        <w:rPr>
          <w:rFonts w:ascii="Arial" w:hAnsi="Arial"/>
          <w:i/>
          <w:color w:val="6B7280"/>
          <w:sz w:val="18"/>
        </w:rPr>
        <w:t>Figure: 30-Day Soft-Delete State Machine, Hourly Auto-Purge Worker, and Audit Ledger</w:t>
      </w:r>
    </w:p>
    <w:p>
      <w:pPr>
        <w:keepNext/>
        <w:spacing w:before="320" w:after="120"/>
      </w:pPr>
      <w:r>
        <w:rPr>
          <w:rFonts w:ascii="Arial" w:hAnsi="Arial"/>
          <w:b/>
          <w:color w:val="2E261F"/>
          <w:sz w:val="26"/>
        </w:rPr>
        <w:t>7. UPGRADE PHASE 5: USER AUTHENTICATION &amp; ACCESS CONTROL (RBAC)</w:t>
      </w:r>
    </w:p>
    <w:p>
      <w:r>
        <w:t>User authentication uses bcrypt-hashed passwords in the users table, validated via JWT tokens stored in browser sessionStorage. The following active, verified accounts are configured for evaluation and defense demonstrations:</w:t>
      </w:r>
    </w:p>
    <w:p>
      <w:pPr>
        <w:spacing w:before="160" w:after="60"/>
        <w:jc w:val="center"/>
      </w:pPr>
      <w:r>
        <w:drawing>
          <wp:inline xmlns:a="http://schemas.openxmlformats.org/drawingml/2006/main" xmlns:pic="http://schemas.openxmlformats.org/drawingml/2006/picture">
            <wp:extent cx="5852160" cy="2340864"/>
            <wp:docPr id="7" name="Picture 7"/>
            <wp:cNvGraphicFramePr>
              <a:graphicFrameLocks noChangeAspect="1"/>
            </wp:cNvGraphicFramePr>
            <a:graphic>
              <a:graphicData uri="http://schemas.openxmlformats.org/drawingml/2006/picture">
                <pic:pic>
                  <pic:nvPicPr>
                    <pic:cNvPr id="0" name="fig7_auth_roles.png"/>
                    <pic:cNvPicPr/>
                  </pic:nvPicPr>
                  <pic:blipFill>
                    <a:blip r:embed="rId15"/>
                    <a:stretch>
                      <a:fillRect/>
                    </a:stretch>
                  </pic:blipFill>
                  <pic:spPr>
                    <a:xfrm>
                      <a:off x="0" y="0"/>
                      <a:ext cx="5852160" cy="2340864"/>
                    </a:xfrm>
                    <a:prstGeom prst="rect"/>
                  </pic:spPr>
                </pic:pic>
              </a:graphicData>
            </a:graphic>
          </wp:inline>
        </w:drawing>
      </w:r>
    </w:p>
    <w:p>
      <w:pPr>
        <w:spacing w:before="0" w:after="240"/>
        <w:jc w:val="center"/>
      </w:pPr>
      <w:r>
        <w:rPr>
          <w:rFonts w:ascii="Arial" w:hAnsi="Arial"/>
          <w:i/>
          <w:color w:val="6B7280"/>
          <w:sz w:val="18"/>
        </w:rPr>
        <w:t>Figure: JWT Authentication Flow and Role-Based Portal Route Boundaries</w:t>
      </w:r>
    </w:p>
    <w:p>
      <w:pPr>
        <w:keepNext/>
        <w:spacing w:before="320" w:after="120"/>
      </w:pPr>
      <w:r>
        <w:rPr>
          <w:rFonts w:ascii="Arial" w:hAnsi="Arial"/>
          <w:b/>
          <w:color w:val="2E261F"/>
          <w:sz w:val="26"/>
        </w:rPr>
        <w:t>8. COMPREHENSIVE FILE INVENTORY &amp; ENGINEERING CHANGE LEDGER</w:t>
      </w:r>
    </w:p>
    <w:p>
      <w:r>
        <w:t>The following master ledger details all files created, modified, and verified throughout this upgrade cycle:</w:t>
      </w:r>
    </w:p>
    <w:p>
      <w:pPr>
        <w:spacing w:before="160" w:after="60"/>
        <w:jc w:val="center"/>
      </w:pPr>
      <w:r>
        <w:drawing>
          <wp:inline xmlns:a="http://schemas.openxmlformats.org/drawingml/2006/main" xmlns:pic="http://schemas.openxmlformats.org/drawingml/2006/picture">
            <wp:extent cx="5852160" cy="2340864"/>
            <wp:docPr id="8" name="Picture 8"/>
            <wp:cNvGraphicFramePr>
              <a:graphicFrameLocks noChangeAspect="1"/>
            </wp:cNvGraphicFramePr>
            <a:graphic>
              <a:graphicData uri="http://schemas.openxmlformats.org/drawingml/2006/picture">
                <pic:pic>
                  <pic:nvPicPr>
                    <pic:cNvPr id="0" name="fig8_file_ledger.png"/>
                    <pic:cNvPicPr/>
                  </pic:nvPicPr>
                  <pic:blipFill>
                    <a:blip r:embed="rId16"/>
                    <a:stretch>
                      <a:fillRect/>
                    </a:stretch>
                  </pic:blipFill>
                  <pic:spPr>
                    <a:xfrm>
                      <a:off x="0" y="0"/>
                      <a:ext cx="5852160" cy="2340864"/>
                    </a:xfrm>
                    <a:prstGeom prst="rect"/>
                  </pic:spPr>
                </pic:pic>
              </a:graphicData>
            </a:graphic>
          </wp:inline>
        </w:drawing>
      </w:r>
    </w:p>
    <w:p>
      <w:pPr>
        <w:spacing w:before="0" w:after="240"/>
        <w:jc w:val="center"/>
      </w:pPr>
      <w:r>
        <w:rPr>
          <w:rFonts w:ascii="Arial" w:hAnsi="Arial"/>
          <w:i/>
          <w:color w:val="6B7280"/>
          <w:sz w:val="18"/>
        </w:rPr>
        <w:t>Figure: Architectural Distribution of Created and Modified System Files</w:t>
      </w:r>
    </w:p>
    <w:p>
      <w:pPr>
        <w:keepNext/>
        <w:spacing w:before="320" w:after="120"/>
      </w:pPr>
      <w:r>
        <w:rPr>
          <w:rFonts w:ascii="Arial" w:hAnsi="Arial"/>
          <w:b/>
          <w:color w:val="2E261F"/>
          <w:sz w:val="26"/>
        </w:rPr>
        <w:t>9. TEST EXECUTION &amp; PRODUCTION BUILD BENCHMARKS</w:t>
      </w:r>
    </w:p>
    <w:p>
      <w:r>
        <w:t>To ensure uncompromising stability, all features underwent live API testing, migration validation, and full Vite client packaging:</w:t>
      </w:r>
    </w:p>
    <w:p>
      <w:pPr>
        <w:spacing w:before="160" w:after="60"/>
        <w:jc w:val="center"/>
      </w:pPr>
      <w:r>
        <w:drawing>
          <wp:inline xmlns:a="http://schemas.openxmlformats.org/drawingml/2006/main" xmlns:pic="http://schemas.openxmlformats.org/drawingml/2006/picture">
            <wp:extent cx="5852160" cy="2340864"/>
            <wp:docPr id="9" name="Picture 9"/>
            <wp:cNvGraphicFramePr>
              <a:graphicFrameLocks noChangeAspect="1"/>
            </wp:cNvGraphicFramePr>
            <a:graphic>
              <a:graphicData uri="http://schemas.openxmlformats.org/drawingml/2006/picture">
                <pic:pic>
                  <pic:nvPicPr>
                    <pic:cNvPr id="0" name="fig9_verification_benchmarks.png"/>
                    <pic:cNvPicPr/>
                  </pic:nvPicPr>
                  <pic:blipFill>
                    <a:blip r:embed="rId17"/>
                    <a:stretch>
                      <a:fillRect/>
                    </a:stretch>
                  </pic:blipFill>
                  <pic:spPr>
                    <a:xfrm>
                      <a:off x="0" y="0"/>
                      <a:ext cx="5852160" cy="2340864"/>
                    </a:xfrm>
                    <a:prstGeom prst="rect"/>
                  </pic:spPr>
                </pic:pic>
              </a:graphicData>
            </a:graphic>
          </wp:inline>
        </w:drawing>
      </w:r>
    </w:p>
    <w:p>
      <w:pPr>
        <w:spacing w:before="0" w:after="240"/>
        <w:jc w:val="center"/>
      </w:pPr>
      <w:r>
        <w:rPr>
          <w:rFonts w:ascii="Arial" w:hAnsi="Arial"/>
          <w:i/>
          <w:color w:val="6B7280"/>
          <w:sz w:val="18"/>
        </w:rPr>
        <w:t>Figure: Lifecycle Verification Results and Vite 8 Production Packaging Speeds</w:t>
      </w:r>
    </w:p>
    <w:p>
      <w:pPr>
        <w:keepNext/>
        <w:spacing w:before="320" w:after="120"/>
      </w:pPr>
      <w:r>
        <w:rPr>
          <w:rFonts w:ascii="Arial" w:hAnsi="Arial"/>
          <w:b/>
          <w:color w:val="2E261F"/>
          <w:sz w:val="26"/>
        </w:rPr>
        <w:t>10. CAPSTONE OBJECTIVES ALIGNMENT &amp; NEXT ACTIONS</w:t>
      </w:r>
    </w:p>
    <w:p>
      <w:r>
        <w:t>The system upgrades directly reinforce the specific research objectives defined in Chapter 1 of the official capstone manuscript:</w:t>
      </w:r>
    </w:p>
    <w:p>
      <w:pPr>
        <w:spacing w:before="160" w:after="60"/>
        <w:jc w:val="center"/>
      </w:pPr>
      <w:r>
        <w:drawing>
          <wp:inline xmlns:a="http://schemas.openxmlformats.org/drawingml/2006/main" xmlns:pic="http://schemas.openxmlformats.org/drawingml/2006/picture">
            <wp:extent cx="5852160" cy="2340864"/>
            <wp:docPr id="10" name="Picture 10"/>
            <wp:cNvGraphicFramePr>
              <a:graphicFrameLocks noChangeAspect="1"/>
            </wp:cNvGraphicFramePr>
            <a:graphic>
              <a:graphicData uri="http://schemas.openxmlformats.org/drawingml/2006/picture">
                <pic:pic>
                  <pic:nvPicPr>
                    <pic:cNvPr id="0" name="fig10_capstone_objectives.png"/>
                    <pic:cNvPicPr/>
                  </pic:nvPicPr>
                  <pic:blipFill>
                    <a:blip r:embed="rId18"/>
                    <a:stretch>
                      <a:fillRect/>
                    </a:stretch>
                  </pic:blipFill>
                  <pic:spPr>
                    <a:xfrm>
                      <a:off x="0" y="0"/>
                      <a:ext cx="5852160" cy="2340864"/>
                    </a:xfrm>
                    <a:prstGeom prst="rect"/>
                  </pic:spPr>
                </pic:pic>
              </a:graphicData>
            </a:graphic>
          </wp:inline>
        </w:drawing>
      </w:r>
    </w:p>
    <w:p>
      <w:pPr>
        <w:spacing w:before="0" w:after="240"/>
        <w:jc w:val="center"/>
      </w:pPr>
      <w:r>
        <w:rPr>
          <w:rFonts w:ascii="Arial" w:hAnsi="Arial"/>
          <w:i/>
          <w:color w:val="6B7280"/>
          <w:sz w:val="18"/>
        </w:rPr>
        <w:t>Figure: Direct Mapping of System Enhancements to Capstone Chapter 1 Research Goals</w:t>
      </w:r>
    </w:p>
    <w:tbl>
      <w:tblPr>
        <w:tblW w:type="auto" w:w="0"/>
        <w:jc w:val="center"/>
        <w:tblLayout w:type="fixed"/>
        <w:tblLook w:firstColumn="1" w:firstRow="1" w:lastColumn="0" w:lastRow="0" w:noHBand="0" w:noVBand="1" w:val="04A0"/>
      </w:tblPr>
      <w:tblGrid>
        <w:gridCol w:w="9360"/>
      </w:tblGrid>
      <w:tr>
        <w:tc>
          <w:tcPr>
            <w:tcW w:type="dxa" w:w="9360"/>
            <w:shd w:fill="FAF7F4"/>
            <w:tcMar>
              <w:top w:w="140" w:type="dxa"/>
              <w:bottom w:w="140" w:type="dxa"/>
              <w:left w:w="180" w:type="dxa"/>
              <w:right w:w="160" w:type="dxa"/>
            </w:tcMar>
            <w:tcBorders>
              <w:top w:val="none"/>
              <w:left w:val="single" w:sz="24" w:space="0" w:color="8B5E3C"/>
              <w:bottom w:val="none"/>
              <w:right w:val="none"/>
            </w:tcBorders>
          </w:tcPr>
          <w:p>
            <w:pPr>
              <w:spacing w:before="0" w:after="80"/>
            </w:pPr>
            <w:r>
              <w:rPr>
                <w:rFonts w:ascii="Arial" w:hAnsi="Arial"/>
                <w:b/>
                <w:color w:val="2E261F"/>
                <w:sz w:val="21"/>
              </w:rPr>
              <w:t>📌 Recommended Next Steps for Capstone Defense Preparation</w:t>
              <w:br/>
            </w:r>
            <w:r>
              <w:rPr>
                <w:rFonts w:ascii="Arial" w:hAnsi="Arial"/>
                <w:color w:val="4A3E35"/>
                <w:sz w:val="19"/>
              </w:rPr>
              <w:t>1. End-of-Day Cash Reconciliation (Objective #4): Build cash_reconciliations table and UI in AdminReport.jsx comparing Opening Change Fund + Cash Sales against Physical Count.</w:t>
              <w:br/>
              <w:t>2. Walk-in 'Unpaid' Order Toggle (Objective #2): Add Unpaid status at POS checkout in StaffOrderConfirmation.jsx for pay-upon-pickup orders.</w:t>
              <w:br/>
              <w:t>3. Live Orders Dashboard Widget: Connect orders.slice(0, 5) to the Recent Orders table in AdminDashboard.jsx.</w:t>
              <w:br/>
              <w:t>4. Public Milk Tea Filter: Update category filter key in src/pages/Menu.jsx to match 'Milk Tea'.</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