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B08D57"/>
          <w:spacing w:val="20"/>
          <w:sz w:val="26"/>
          <w:szCs w:val="26"/>
        </w:rPr>
        <w:t xml:space="preserve">INSTITUTIONAL EQUITY RESEARCH</w:t>
      </w:r>
    </w:p>
    <w:p>
      <w:pPr>
        <w:spacing w:before="300"/>
        <w:jc w:val="center"/>
      </w:pPr>
      <w:r>
        <w:rPr>
          <w:b/>
          <w:bCs/>
          <w:color w:val="1F2A44"/>
          <w:sz w:val="56"/>
          <w:szCs w:val="56"/>
        </w:rPr>
        <w:t xml:space="preserve">Waaree Energies Limited</w:t>
      </w:r>
    </w:p>
    <w:p>
      <w:pPr>
        <w:spacing w:after="300" w:before="100"/>
        <w:jc w:val="center"/>
      </w:pPr>
      <w:r>
        <w:rPr>
          <w:color w:val="222222"/>
          <w:sz w:val="22"/>
          <w:szCs w:val="22"/>
        </w:rPr>
        <w:t xml:space="preserve">NSE: WAAREEENER  |  BSE: 544277  |  ISIN: INE377N01017</w:t>
      </w:r>
    </w:p>
    <w:p>
      <w:pPr>
        <w:spacing w:after="100" w:before="100"/>
        <w:jc w:val="center"/>
      </w:pPr>
      <w:r>
        <w:rPr>
          <w:i/>
          <w:iCs/>
          <w:color w:val="222222"/>
          <w:sz w:val="21"/>
          <w:szCs w:val="21"/>
        </w:rPr>
        <w:t xml:space="preserve">Sector: Capital Goods — Electrical Equipment (Solar PV Manufacturing)</w:t>
      </w:r>
    </w:p>
    <w:p>
      <w:pPr>
        <w:spacing w:after="100" w:before="600"/>
        <w:jc w:val="center"/>
      </w:pPr>
      <w:r>
        <w:rPr>
          <w:b/>
          <w:bCs/>
          <w:color w:val="1F2A44"/>
          <w:sz w:val="22"/>
          <w:szCs w:val="22"/>
        </w:rPr>
        <w:t xml:space="preserve">PART I — INDUSTRY RESEARCH, COMPANY RESEARCH,</w:t>
      </w:r>
    </w:p>
    <w:p>
      <w:pPr>
        <w:spacing w:after="100" w:before="0"/>
        <w:jc w:val="center"/>
      </w:pPr>
      <w:r>
        <w:rPr>
          <w:b/>
          <w:bCs/>
          <w:color w:val="1F2A44"/>
          <w:sz w:val="22"/>
          <w:szCs w:val="22"/>
        </w:rPr>
        <w:t xml:space="preserve">FINANCIAL STATEMENT ANALYSIS &amp; RATIO ANALYSIS</w:t>
      </w:r>
    </w:p>
    <w:p>
      <w:pPr>
        <w:spacing w:before="800"/>
        <w:jc w:val="center"/>
      </w:pPr>
      <w:r>
        <w:rPr>
          <w:color w:val="222222"/>
          <w:sz w:val="20"/>
          <w:szCs w:val="20"/>
        </w:rPr>
        <w:t xml:space="preserve">Prepared: July 2026</w:t>
      </w:r>
    </w:p>
    <w:p>
      <w:pPr>
        <w:spacing w:before="1400"/>
        <w:jc w:val="center"/>
      </w:pPr>
      <w:r>
        <w:rPr>
          <w:i/>
          <w:iCs/>
          <w:color w:val="666666"/>
          <w:sz w:val="16"/>
          <w:szCs w:val="16"/>
        </w:rPr>
        <w:t xml:space="preserve">This report is prepared for educational / portfolio purposes as part of an independent equity research project. It is not investment advice and should not be relied upon for making investment decisions. Figures are sourced from company filings, exchange disclosures, and third-party financial data aggregators; see Sources at the end of each section.</w:t>
      </w:r>
    </w:p>
    <w:p>
      <w:pPr>
        <w:sectPr>
          <w:pgSz w:w="12240" w:h="15840" w:orient="portrait"/>
          <w:pgMar w:top="1080" w:right="1080" w:bottom="1080" w:left="1080" w:header="708" w:footer="708" w:gutter="0"/>
          <w:pgNumType/>
          <w:docGrid w:linePitch="360"/>
        </w:sectPr>
      </w:pPr>
    </w:p>
    <w:p>
      <w:pPr>
        <w:pStyle w:val="Heading1"/>
        <w:spacing w:after="200" w:before="400"/>
      </w:pPr>
      <w:r>
        <w:t xml:space="preserve">Executive Summary</w:t>
      </w:r>
    </w:p>
    <w:tbl>
      <w:tblPr>
        <w:tblW w:type="dxa" w:w="9350"/>
        <w:tblBorders>
          <w:top w:val="single" w:color="B08D57" w:sz="4"/>
          <w:left w:val="single" w:color="B08D57" w:sz="4"/>
          <w:bottom w:val="single" w:color="B08D57" w:sz="4"/>
          <w:right w:val="single" w:color="B08D57" w:sz="4"/>
          <w:insideH w:val="none"/>
          <w:insideV w:val="none"/>
        </w:tblBorders>
      </w:tblPr>
      <w:tblGrid>
        <w:gridCol w:w="9350"/>
      </w:tblGrid>
      <w:tr>
        <w:tc>
          <w:tcPr>
            <w:tcW w:type="dxa" w:w="9350"/>
            <w:shd w:fill="F5F0E6" w:val="clear"/>
            <w:tcMar>
              <w:top w:type="dxa" w:w="150"/>
              <w:left w:type="dxa" w:w="200"/>
              <w:bottom w:type="dxa" w:w="150"/>
              <w:right w:type="dxa" w:w="200"/>
            </w:tcMar>
          </w:tcPr>
          <w:p>
            <w:pPr>
              <w:spacing w:after="80"/>
            </w:pPr>
            <w:r>
              <w:rPr>
                <w:b/>
                <w:bCs/>
                <w:color w:val="1F2A44"/>
                <w:sz w:val="21"/>
                <w:szCs w:val="21"/>
              </w:rPr>
              <w:t xml:space="preserve">Snapshot (as of late June 2026)</w:t>
            </w:r>
          </w:p>
          <w:p>
            <w:pPr>
              <w:spacing w:after="40"/>
            </w:pPr>
            <w:r>
              <w:rPr>
                <w:color w:val="B08D57"/>
                <w:sz w:val="20"/>
                <w:szCs w:val="20"/>
              </w:rPr>
              <w:t xml:space="preserve">▪ </w:t>
            </w:r>
            <w:r>
              <w:rPr>
                <w:color w:val="222222"/>
                <w:sz w:val="20"/>
                <w:szCs w:val="20"/>
              </w:rPr>
              <w:t xml:space="preserve">Market cap: ~₹83,000–84,000 Cr | CMP: ~₹2,886 | 52-week range: ₹2,402 – ₹3,865</w:t>
            </w:r>
          </w:p>
          <w:p>
            <w:pPr>
              <w:spacing w:after="40"/>
            </w:pPr>
            <w:r>
              <w:rPr>
                <w:color w:val="B08D57"/>
                <w:sz w:val="20"/>
                <w:szCs w:val="20"/>
              </w:rPr>
              <w:t xml:space="preserve">▪ </w:t>
            </w:r>
            <w:r>
              <w:rPr>
                <w:color w:val="222222"/>
                <w:sz w:val="20"/>
                <w:szCs w:val="20"/>
              </w:rPr>
              <w:t xml:space="preserve">FY26 revenue: ₹26,537 Cr (+84% YoY) | FY26 net profit: ₹3,884 Cr (+101% YoY)</w:t>
            </w:r>
          </w:p>
          <w:p>
            <w:pPr>
              <w:spacing w:after="40"/>
            </w:pPr>
            <w:r>
              <w:rPr>
                <w:color w:val="B08D57"/>
                <w:sz w:val="20"/>
                <w:szCs w:val="20"/>
              </w:rPr>
              <w:t xml:space="preserve">▪ </w:t>
            </w:r>
            <w:r>
              <w:rPr>
                <w:color w:val="222222"/>
                <w:sz w:val="20"/>
                <w:szCs w:val="20"/>
              </w:rPr>
              <w:t xml:space="preserve">FY26 OPM: 22% (vs 19% FY25, 5% FY20) | ROE (last year): ~33% | ROCE: ~39%</w:t>
            </w:r>
          </w:p>
          <w:p>
            <w:pPr>
              <w:spacing w:after="40"/>
            </w:pPr>
            <w:r>
              <w:rPr>
                <w:color w:val="B08D57"/>
                <w:sz w:val="20"/>
                <w:szCs w:val="20"/>
              </w:rPr>
              <w:t xml:space="preserve">▪ </w:t>
            </w:r>
            <w:r>
              <w:rPr>
                <w:color w:val="222222"/>
                <w:sz w:val="20"/>
                <w:szCs w:val="20"/>
              </w:rPr>
              <w:t xml:space="preserve">Promoter holding: 64.2% | Module manufacturing capacity: ~15 GW (12 GW at IPO, ramping toward 20 GW)</w:t>
            </w:r>
          </w:p>
          <w:p>
            <w:pPr>
              <w:spacing w:after="40"/>
            </w:pPr>
            <w:r>
              <w:rPr>
                <w:color w:val="B08D57"/>
                <w:sz w:val="20"/>
                <w:szCs w:val="20"/>
              </w:rPr>
              <w:t xml:space="preserve">▪ </w:t>
            </w:r>
            <w:r>
              <w:rPr>
                <w:color w:val="222222"/>
                <w:sz w:val="20"/>
                <w:szCs w:val="20"/>
              </w:rPr>
              <w:t xml:space="preserve">Largest non-Chinese solar PV module manufacturer globally; ~India domestic module shipment share of roughly 14–21% depending on period measured</w:t>
            </w:r>
          </w:p>
        </w:tc>
      </w:tr>
    </w:tbl>
    <w:p>
      <w:pPr>
        <w:spacing w:after="160" w:line="276"/>
      </w:pPr>
      <w:r>
        <w:rPr>
          <w:color w:val="222222"/>
          <w:sz w:val="21"/>
          <w:szCs w:val="21"/>
        </w:rPr>
        <w:t xml:space="preserve"/>
      </w:r>
    </w:p>
    <w:p>
      <w:pPr>
        <w:spacing w:after="160" w:line="276"/>
      </w:pPr>
      <w:r>
        <w:rPr>
          <w:color w:val="222222"/>
          <w:sz w:val="21"/>
          <w:szCs w:val="21"/>
        </w:rPr>
        <w:t xml:space="preserve">Waaree Energies is India's largest solar photovoltaic module manufacturer, operating across three reportable segments: Solar PV Module Manufacturing, EPC &amp; O&amp;M Solutions, and Independent Power Producer (IPP). The company listed on the NSE/BSE in October 2024, raising approximately ₹3,600 Cr in a fresh-issue IPO, and has since compounded revenue at a five-year CAGR of roughly 69% and net profit at roughly 143%, off a low base and aided heavily by India's protectionist solar policy stack (ALMM, Basic Customs Duty, PLI incentives) and a structural domestic + export demand tailwind.</w:t>
      </w:r>
    </w:p>
    <w:p>
      <w:pPr>
        <w:spacing w:after="160" w:line="276"/>
      </w:pPr>
      <w:r>
        <w:rPr>
          <w:color w:val="222222"/>
          <w:sz w:val="21"/>
          <w:szCs w:val="21"/>
        </w:rPr>
        <w:t xml:space="preserve">The investment case rests on three pillars that this report substantiates with data: (1) a genuinely favorable multi-year policy runway in Indian solar manufacturing, (2) Waaree's demonstrated scale and cost leadership within that runway, and (3) execution risk around the FY26–FY28 capex cycle (cell/wafer/ingot backward integration, the ALMM List-II cell mandate from June 2026, and a working-capital-hungry balance sheet — free cash flow turned negative in FY25 and FY26 despite rising profits). This tension between reported profit growth and cash conversion is the central analytical thread carried through the ratio analysis, and will be the central lever tested in the DCF sensitivity work in Part II.</w:t>
      </w:r>
    </w:p>
    <w:p>
      <w:pPr>
        <w:spacing w:after="160" w:line="276"/>
      </w:pPr>
      <w:r>
        <w:rPr>
          <w:color w:val="222222"/>
          <w:sz w:val="21"/>
          <w:szCs w:val="21"/>
        </w:rPr>
        <w:t xml:space="preserve">This document is Part I of a multi-part institutional research package. It covers Industry Research, Company Research, Financial Statement Analysis, and Ratio Analysis. Part II (delivered separately) will contain the three-statement Excel model, DCF and relative valuation, Python risk/analytics scripts, the SQL database, the Power BI dashboard, the formal research report with a price target, the presentation deck, and the GitHub repository structure.</w:t>
      </w:r>
    </w:p>
    <w:p>
      <w:r>
        <w:br w:type="page"/>
      </w:r>
    </w:p>
    <w:p>
      <w:pPr>
        <w:pStyle w:val="Heading1"/>
        <w:spacing w:after="200" w:before="400"/>
      </w:pPr>
      <w:r>
        <w:t xml:space="preserve">1. Industry Research — Indian Solar PV Manufacturing</w:t>
      </w:r>
    </w:p>
    <w:p>
      <w:pPr>
        <w:pStyle w:val="Heading2"/>
        <w:spacing w:after="150" w:before="300"/>
      </w:pPr>
      <w:r>
        <w:t xml:space="preserve">1.1 Industry Overview &amp; Market Size</w:t>
      </w:r>
    </w:p>
    <w:p>
      <w:pPr>
        <w:spacing w:after="160" w:line="276"/>
      </w:pPr>
      <w:r>
        <w:rPr>
          <w:color w:val="222222"/>
          <w:sz w:val="21"/>
          <w:szCs w:val="21"/>
        </w:rPr>
        <w:t xml:space="preserve">India's solar manufacturing sector has scaled from near-zero domestic capability a decade ago into one of the fastest-growing PV manufacturing bases globally, second only to China in ambition if not yet in scale. As of mid-2025, India's operational capacity stood at roughly 120 GW for modules and 29–29.3 GW for cells, with polysilicon (~3.3 GW) and wafer (~5.3 GW) capacity still nascent — meaning the industry remains heavily import-dependent upstream even as it has achieved near self-sufficiency in module assembly. Module manufacturing nameplate capacity had already crossed the ~100–110 GW mark ahead of earlier 2026 projections, while the Approved List of Models and Manufacturers (ALMM List-I) enlisted capacity reached 119.8 GW by October 2025 across more than 100 manufacturers.</w:t>
      </w:r>
    </w:p>
    <w:p>
      <w:pPr>
        <w:spacing w:after="160" w:line="276"/>
      </w:pPr>
      <w:r>
        <w:rPr>
          <w:color w:val="222222"/>
          <w:sz w:val="21"/>
          <w:szCs w:val="21"/>
        </w:rPr>
        <w:t xml:space="preserve">Demand is anchored by India's official target of 500 GW of non-fossil-fuel installed capacity by 2030 (against roughly 292 GW of solar-specific targets embedded within that goal), which implies annual solar installations of approximately 37 GW per year through FY30 under conservative scenarios, and potentially 43+ GW per year under more ambitious clean-energy-mix scenarios modeled by CEEW. India installed 23.83 GW of solar capacity in FY25 alone, all of it ALMM List-I compliant.</w:t>
      </w:r>
    </w:p>
    <w:p>
      <w:pPr>
        <w:spacing w:after="160" w:line="276"/>
      </w:pPr>
      <w:r>
        <w:rPr>
          <w:color w:val="222222"/>
          <w:sz w:val="21"/>
          <w:szCs w:val="21"/>
        </w:rPr>
        <w:t xml:space="preserve">Because domestic module capacity (~120 GW) now structurally exceeds annual domestic module demand (~40–50 GW), the industry is transitioning from an import-substitution story to an export-driven one — Indian module exports grew more than 5x in value terms between FY22 and FY23 alone, and Tier-1 manufacturers including Waaree now earmark 20–25% of capacity for export markets, principally the United States.</w:t>
      </w:r>
    </w:p>
    <w:p>
      <w:pPr>
        <w:pStyle w:val="Heading2"/>
        <w:spacing w:after="150" w:before="300"/>
      </w:pPr>
      <w:r>
        <w:t xml:space="preserve">1.2 Growth Drivers</w:t>
      </w:r>
    </w:p>
    <w:p>
      <w:pPr>
        <w:pStyle w:val="ListParagraph"/>
        <w:numPr>
          <w:ilvl w:val="0"/>
          <w:numId w:val="1"/>
        </w:numPr>
        <w:spacing w:after="90" w:line="276"/>
      </w:pPr>
      <w:r>
        <w:rPr>
          <w:color w:val="222222"/>
          <w:sz w:val="21"/>
          <w:szCs w:val="21"/>
        </w:rPr>
        <w:t xml:space="preserve">Non-tariff protection via ALMM: government-backed and increasingly private/DISCOM-linked projects must source modules (List-I, live since 2019/reinstated 2024) and, from June 2026, solar cells (List-II) from the approved lists — this is described by IEEFA/JMK Research as the single most important driver of the domestic manufacturing build-out, more impactful than tariffs.</w:t>
      </w:r>
    </w:p>
    <w:p>
      <w:pPr>
        <w:pStyle w:val="ListParagraph"/>
        <w:numPr>
          <w:ilvl w:val="0"/>
          <w:numId w:val="1"/>
        </w:numPr>
        <w:spacing w:after="90" w:line="276"/>
      </w:pPr>
      <w:r>
        <w:rPr>
          <w:color w:val="222222"/>
          <w:sz w:val="21"/>
          <w:szCs w:val="21"/>
        </w:rPr>
        <w:t xml:space="preserve">Tariff protection: Basic Customs Duty (BCD) on imported modules and cells raises the landed cost of Chinese imports, though multiple analysts note the price gap versus domestic product is now narrow enough that ALMM (a hard volume restriction) matters more than BCD (a price adjustment).</w:t>
      </w:r>
    </w:p>
    <w:p>
      <w:pPr>
        <w:pStyle w:val="ListParagraph"/>
        <w:numPr>
          <w:ilvl w:val="0"/>
          <w:numId w:val="1"/>
        </w:numPr>
        <w:spacing w:after="90" w:line="276"/>
      </w:pPr>
      <w:r>
        <w:rPr>
          <w:color w:val="222222"/>
          <w:sz w:val="21"/>
          <w:szCs w:val="21"/>
        </w:rPr>
        <w:t xml:space="preserve">Production-Linked Incentive (PLI) scheme: ~US$3.2bn (₹24,000 Cr) allocated across two tranches for high-efficiency module manufacturing, awarded to players including Reliance, Adani, Shirdi Sai, and a further 11 firms for ~39.6 GW of integrated/partially integrated capacity in Tranche II. Execution has lagged targets (only ~56% of module and ~14% of polysilicon capacity commissioned as of mid-2025), which is itself a data point on execution risk across the sector, Waaree included.</w:t>
      </w:r>
    </w:p>
    <w:p>
      <w:pPr>
        <w:pStyle w:val="ListParagraph"/>
        <w:numPr>
          <w:ilvl w:val="0"/>
          <w:numId w:val="1"/>
        </w:numPr>
        <w:spacing w:after="90" w:line="276"/>
      </w:pPr>
      <w:r>
        <w:rPr>
          <w:color w:val="222222"/>
          <w:sz w:val="21"/>
          <w:szCs w:val="21"/>
        </w:rPr>
        <w:t xml:space="preserve">Falling cost curve and 500 GW 2030 target: GST on solar equipment was cut from 12% to 5% effective September 2025, mechanically lowering project capital costs by ~5%.</w:t>
      </w:r>
    </w:p>
    <w:p>
      <w:pPr>
        <w:pStyle w:val="ListParagraph"/>
        <w:numPr>
          <w:ilvl w:val="0"/>
          <w:numId w:val="1"/>
        </w:numPr>
        <w:spacing w:after="90" w:line="276"/>
      </w:pPr>
      <w:r>
        <w:rPr>
          <w:color w:val="222222"/>
          <w:sz w:val="21"/>
          <w:szCs w:val="21"/>
        </w:rPr>
        <w:t xml:space="preserve">Export demand / "China+1": Global buyers, particularly in the US and EU, are actively diversifying away from Chinese-origin supply chains, and Indian Tier-1 manufacturers are positioned as the primary beneficiary of that diversification.</w:t>
      </w:r>
    </w:p>
    <w:p>
      <w:pPr>
        <w:pStyle w:val="Heading2"/>
        <w:spacing w:after="150" w:before="300"/>
      </w:pPr>
      <w:r>
        <w:t xml:space="preserve">1.3 Regulatory &amp; Policy Landscape — the Detail That Will Drive FY27 Margins</w:t>
      </w:r>
    </w:p>
    <w:p>
      <w:pPr>
        <w:spacing w:after="160" w:line="276"/>
      </w:pPr>
      <w:r>
        <w:rPr>
          <w:color w:val="222222"/>
          <w:sz w:val="21"/>
          <w:szCs w:val="21"/>
        </w:rPr>
        <w:t xml:space="preserve">The single most important near-term policy event for the entire sector, Waaree included, is the activation of ALMM List-II for solar cells from June 2026, which forces module makers who are not backward-integrated into cells to either secure supply from a List-II cell manufacturer or build their own cell capacity. ICRA estimates domestic cell manufacturing capacity will need to scale toward ~100 GW by December 2027 from ~17.9 GW currently under ALMM, and that modules built on domestic (List-II) cells will cost 3–6+ cents/Wp more than modules using imported cells — a direct near-term margin headwind for the industry that will show up differentially depending on each manufacturer's cell self-sufficiency. Projects that had already submitted bids before 1 September 2025 (a pipeline of ~45-50 GW) are exempted, which provides a cushion but also means the real stress-test on cell integration hits FY27 order books, not FY26.</w:t>
      </w:r>
    </w:p>
    <w:p>
      <w:pPr>
        <w:pStyle w:val="ListParagraph"/>
        <w:numPr>
          <w:ilvl w:val="0"/>
          <w:numId w:val="1"/>
        </w:numPr>
        <w:spacing w:after="90" w:line="276"/>
      </w:pPr>
      <w:r>
        <w:rPr>
          <w:color w:val="222222"/>
          <w:sz w:val="21"/>
          <w:szCs w:val="21"/>
        </w:rPr>
        <w:t xml:space="preserve">Domestic Content Requirement (DCR) rules tightened as of March 2025: crystalline-silicon cells only qualify as domestic content if made from undiffused (not imported-diffused) wafers — this closes a loophole and pushes genuine backward integration.</w:t>
      </w:r>
    </w:p>
    <w:p>
      <w:pPr>
        <w:pStyle w:val="ListParagraph"/>
        <w:numPr>
          <w:ilvl w:val="0"/>
          <w:numId w:val="1"/>
        </w:numPr>
        <w:spacing w:after="90" w:line="276"/>
      </w:pPr>
      <w:r>
        <w:rPr>
          <w:color w:val="222222"/>
          <w:sz w:val="21"/>
          <w:szCs w:val="21"/>
        </w:rPr>
        <w:t xml:space="preserve">Budget FY26 allocated ₹24,224 Cr (~US$2.7bn) to the solar sector under the broader 500 GW non-fossil target.</w:t>
      </w:r>
    </w:p>
    <w:p>
      <w:pPr>
        <w:pStyle w:val="ListParagraph"/>
        <w:numPr>
          <w:ilvl w:val="0"/>
          <w:numId w:val="1"/>
        </w:numPr>
        <w:spacing w:after="90" w:line="276"/>
      </w:pPr>
      <w:r>
        <w:rPr>
          <w:color w:val="222222"/>
          <w:sz w:val="21"/>
          <w:szCs w:val="21"/>
        </w:rPr>
        <w:t xml:space="preserve">Policy has historically been volatile — ALMM itself was suspended and reinstated between 2021 and 2024 — which is a real risk factor, not just a compliance checkbox, for capital-intensive manufacturers planning 3-5 year capacity build-outs.</w:t>
      </w:r>
    </w:p>
    <w:p>
      <w:pPr>
        <w:pStyle w:val="Heading2"/>
        <w:spacing w:after="150" w:before="300"/>
      </w:pPr>
      <w:r>
        <w:t xml:space="preserve">1.4 Key Industry Risks</w:t>
      </w:r>
    </w:p>
    <w:p>
      <w:pPr>
        <w:pStyle w:val="ListParagraph"/>
        <w:numPr>
          <w:ilvl w:val="0"/>
          <w:numId w:val="1"/>
        </w:numPr>
        <w:spacing w:after="90" w:line="276"/>
      </w:pPr>
      <w:r>
        <w:rPr>
          <w:color w:val="222222"/>
          <w:sz w:val="21"/>
          <w:szCs w:val="21"/>
        </w:rPr>
        <w:t xml:space="preserve">Overcapacity: Module nameplate capacity (~120 GW+) already runs well ahead of ~40-50 GW annual domestic demand; ICRA flags this as a structural pricing-pressure risk on domestic OEMs even before accounting for cell-side overcapacity building toward 2027.</w:t>
      </w:r>
    </w:p>
    <w:p>
      <w:pPr>
        <w:pStyle w:val="ListParagraph"/>
        <w:numPr>
          <w:ilvl w:val="0"/>
          <w:numId w:val="1"/>
        </w:numPr>
        <w:spacing w:after="90" w:line="276"/>
      </w:pPr>
      <w:r>
        <w:rPr>
          <w:color w:val="222222"/>
          <w:sz w:val="21"/>
          <w:szCs w:val="21"/>
        </w:rPr>
        <w:t xml:space="preserve">Cell-supply bottleneck risk from ALMM List-II: non-vertically-integrated players face higher costs or supply constraints starting June 2026.</w:t>
      </w:r>
    </w:p>
    <w:p>
      <w:pPr>
        <w:pStyle w:val="ListParagraph"/>
        <w:numPr>
          <w:ilvl w:val="0"/>
          <w:numId w:val="1"/>
        </w:numPr>
        <w:spacing w:after="90" w:line="276"/>
      </w:pPr>
      <w:r>
        <w:rPr>
          <w:color w:val="222222"/>
          <w:sz w:val="21"/>
          <w:szCs w:val="21"/>
        </w:rPr>
        <w:t xml:space="preserve">Trade/tariff exposure on exports: with 20-25%+ of Tier-1 manufacturers' capacity earmarked for exports (heavily US-weighted), any shift in US trade policy, anti-dumping/anti-circumvention rulings, or customs enforcement action (Waaree itself was subject to a 2026 U.S. CBP inquiry into Chinese-origin cell content, which the company says was resolved without an adverse finding) is a direct earnings risk.</w:t>
      </w:r>
    </w:p>
    <w:p>
      <w:pPr>
        <w:pStyle w:val="ListParagraph"/>
        <w:numPr>
          <w:ilvl w:val="0"/>
          <w:numId w:val="1"/>
        </w:numPr>
        <w:spacing w:after="90" w:line="276"/>
      </w:pPr>
      <w:r>
        <w:rPr>
          <w:color w:val="222222"/>
          <w:sz w:val="21"/>
          <w:szCs w:val="21"/>
        </w:rPr>
        <w:t xml:space="preserve">Raw material and technology risk: polysilicon price volatility (India still imports the large majority of polysilicon) and the ongoing technology transition from PERC to TOPCon to HJT means capacity can become technologically stranded if a manufacturer under-invests in the wrong generation.</w:t>
      </w:r>
    </w:p>
    <w:p>
      <w:pPr>
        <w:pStyle w:val="ListParagraph"/>
        <w:numPr>
          <w:ilvl w:val="0"/>
          <w:numId w:val="1"/>
        </w:numPr>
        <w:spacing w:after="90" w:line="276"/>
      </w:pPr>
      <w:r>
        <w:rPr>
          <w:color w:val="222222"/>
          <w:sz w:val="21"/>
          <w:szCs w:val="21"/>
        </w:rPr>
        <w:t xml:space="preserve">Execution/capital intensity risk: PLI-linked capex plans have already run behind schedule sector-wide (56% of module capacity commissioned vs. target as of mid-2025), and non-compliant PLI awardees face bank guarantee encashment and forfeited incentives — JMK Research estimates a cumulative sector-wide monetary risk of up to ₹41,834 Cr from PLI non-compliance.</w:t>
      </w:r>
    </w:p>
    <w:p>
      <w:pPr>
        <w:pStyle w:val="ListParagraph"/>
        <w:numPr>
          <w:ilvl w:val="0"/>
          <w:numId w:val="1"/>
        </w:numPr>
        <w:spacing w:after="90" w:line="276"/>
      </w:pPr>
      <w:r>
        <w:rPr>
          <w:color w:val="222222"/>
          <w:sz w:val="21"/>
          <w:szCs w:val="21"/>
        </w:rPr>
        <w:t xml:space="preserve">Policy volatility: intermittent suspension/reinstatement of ALMM historically, and the risk that future governments recalibrate incentive schemes.</w:t>
      </w:r>
    </w:p>
    <w:p>
      <w:pPr>
        <w:pStyle w:val="Heading2"/>
        <w:spacing w:after="150" w:before="300"/>
      </w:pPr>
      <w:r>
        <w:t xml:space="preserve">1.5 Competitive Landscape</w:t>
      </w:r>
    </w:p>
    <w:p>
      <w:pPr>
        <w:spacing w:after="160" w:line="276"/>
      </w:pPr>
      <w:r>
        <w:rPr>
          <w:color w:val="222222"/>
          <w:sz w:val="21"/>
          <w:szCs w:val="21"/>
        </w:rPr>
        <w:t xml:space="preserve">The organized, ALMM-listed Tier-1 segment is dominated by five to six credible national-scale players. Waaree is the clear capacity leader; Adani Solar is the most vertically integrated (cell-to-module under one roof at Mundra); Premier Energies is the profitability leader among peers; Vikram Solar is the newest listed entrant (IPO'd August 2025) with the richest growth-multiple; Tata Power Solar and Websol Energy round out the Tier-1 set.</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1900"/>
        <w:gridCol w:w="3600"/>
        <w:gridCol w:w="145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Company</w:t>
            </w:r>
          </w:p>
        </w:tc>
        <w:tc>
          <w:tcPr>
            <w:tcW w:type="dxa" w:w="1900"/>
            <w:shd w:fill="1F2A44" w:val="clear"/>
            <w:tcMar>
              <w:top w:type="dxa" w:w="60"/>
              <w:left w:type="dxa" w:w="100"/>
              <w:bottom w:type="dxa" w:w="60"/>
              <w:right w:type="dxa" w:w="100"/>
            </w:tcMar>
          </w:tcPr>
          <w:p>
            <w:pPr>
              <w:jc w:val="center"/>
            </w:pPr>
            <w:r>
              <w:rPr>
                <w:b/>
                <w:bCs/>
                <w:color w:val="FFFFFF"/>
                <w:sz w:val="19"/>
                <w:szCs w:val="19"/>
              </w:rPr>
              <w:t xml:space="preserve">Approx. Module Capacity</w:t>
            </w:r>
          </w:p>
        </w:tc>
        <w:tc>
          <w:tcPr>
            <w:tcW w:type="dxa" w:w="3600"/>
            <w:shd w:fill="1F2A44" w:val="clear"/>
            <w:tcMar>
              <w:top w:type="dxa" w:w="60"/>
              <w:left w:type="dxa" w:w="100"/>
              <w:bottom w:type="dxa" w:w="60"/>
              <w:right w:type="dxa" w:w="100"/>
            </w:tcMar>
          </w:tcPr>
          <w:p>
            <w:pPr>
              <w:jc w:val="center"/>
            </w:pPr>
            <w:r>
              <w:rPr>
                <w:b/>
                <w:bCs/>
                <w:color w:val="FFFFFF"/>
                <w:sz w:val="19"/>
                <w:szCs w:val="19"/>
              </w:rPr>
              <w:t xml:space="preserve">Positioning</w:t>
            </w:r>
          </w:p>
        </w:tc>
        <w:tc>
          <w:tcPr>
            <w:tcW w:type="dxa" w:w="1450"/>
            <w:shd w:fill="1F2A44" w:val="clear"/>
            <w:tcMar>
              <w:top w:type="dxa" w:w="60"/>
              <w:left w:type="dxa" w:w="100"/>
              <w:bottom w:type="dxa" w:w="60"/>
              <w:right w:type="dxa" w:w="100"/>
            </w:tcMar>
          </w:tcPr>
          <w:p>
            <w:pPr>
              <w:jc w:val="center"/>
            </w:pPr>
            <w:r>
              <w:rPr>
                <w:b/>
                <w:bCs/>
                <w:color w:val="FFFFFF"/>
                <w:sz w:val="19"/>
                <w:szCs w:val="19"/>
              </w:rPr>
              <w:t xml:space="preserve">Listing Status</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Waaree Energies</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~15 GW (targeting 20 GW)</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Scale leader; widest product range (poly to HJT); broadest dealer network; ~70%+ export mix historically</w:t>
            </w:r>
          </w:p>
        </w:tc>
        <w:tc>
          <w:tcPr>
            <w:tcW w:type="dxa" w:w="1450"/>
            <w:shd w:fill="FFFFFF" w:val="clear"/>
            <w:tcMar>
              <w:top w:type="dxa" w:w="60"/>
              <w:left w:type="dxa" w:w="100"/>
              <w:bottom w:type="dxa" w:w="60"/>
              <w:right w:type="dxa" w:w="100"/>
            </w:tcMar>
          </w:tcPr>
          <w:p>
            <w:pPr>
              <w:jc w:val="center"/>
            </w:pPr>
            <w:r>
              <w:rPr>
                <w:b w:val="false"/>
                <w:bCs w:val="false"/>
                <w:color w:val="222222"/>
                <w:sz w:val="19"/>
                <w:szCs w:val="19"/>
              </w:rPr>
              <w:t xml:space="preserve">Listed (Oct 2024)</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Adani Solar (Adani Green/Enterprises)</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~4 GW, expanding to 10 GW</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Fully vertically integrated (ingot-to-module) at Mundra; premium positioning, strong balance sheet</w:t>
            </w:r>
          </w:p>
        </w:tc>
        <w:tc>
          <w:tcPr>
            <w:tcW w:type="dxa" w:w="1450"/>
            <w:shd w:fill="F2F2F2" w:val="clear"/>
            <w:tcMar>
              <w:top w:type="dxa" w:w="60"/>
              <w:left w:type="dxa" w:w="100"/>
              <w:bottom w:type="dxa" w:w="60"/>
              <w:right w:type="dxa" w:w="100"/>
            </w:tcMar>
          </w:tcPr>
          <w:p>
            <w:pPr>
              <w:jc w:val="center"/>
            </w:pPr>
            <w:r>
              <w:rPr>
                <w:b w:val="false"/>
                <w:bCs w:val="false"/>
                <w:color w:val="222222"/>
                <w:sz w:val="19"/>
                <w:szCs w:val="19"/>
              </w:rPr>
              <w:t xml:space="preserve">Listed (via Adani entities)</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Premier Energies</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~5+ GW</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Best-in-class profitability/margins among peers; cell + module integrated</w:t>
            </w:r>
          </w:p>
        </w:tc>
        <w:tc>
          <w:tcPr>
            <w:tcW w:type="dxa" w:w="1450"/>
            <w:shd w:fill="FFFFFF" w:val="clear"/>
            <w:tcMar>
              <w:top w:type="dxa" w:w="60"/>
              <w:left w:type="dxa" w:w="100"/>
              <w:bottom w:type="dxa" w:w="60"/>
              <w:right w:type="dxa" w:w="100"/>
            </w:tcMar>
          </w:tcPr>
          <w:p>
            <w:pPr>
              <w:jc w:val="center"/>
            </w:pPr>
            <w:r>
              <w:rPr>
                <w:b w:val="false"/>
                <w:bCs w:val="false"/>
                <w:color w:val="222222"/>
                <w:sz w:val="19"/>
                <w:szCs w:val="19"/>
              </w:rPr>
              <w:t xml:space="preserve">Listed (2024)</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Vikram Solar</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~3.5-5 GW; 10.3 GW order book</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Highest growth multiple; strong exports (Japan, US); newest IPO</w:t>
            </w:r>
          </w:p>
        </w:tc>
        <w:tc>
          <w:tcPr>
            <w:tcW w:type="dxa" w:w="1450"/>
            <w:shd w:fill="F2F2F2" w:val="clear"/>
            <w:tcMar>
              <w:top w:type="dxa" w:w="60"/>
              <w:left w:type="dxa" w:w="100"/>
              <w:bottom w:type="dxa" w:w="60"/>
              <w:right w:type="dxa" w:w="100"/>
            </w:tcMar>
          </w:tcPr>
          <w:p>
            <w:pPr>
              <w:jc w:val="center"/>
            </w:pPr>
            <w:r>
              <w:rPr>
                <w:b w:val="false"/>
                <w:bCs w:val="false"/>
                <w:color w:val="222222"/>
                <w:sz w:val="19"/>
                <w:szCs w:val="19"/>
              </w:rPr>
              <w:t xml:space="preserve">Listed (Aug 2025)</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Tata Power Solar</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Bengaluru facility</w:t>
            </w:r>
          </w:p>
        </w:tc>
        <w:tc>
          <w:tcPr>
            <w:tcW w:type="dxa" w:w="3600"/>
            <w:shd w:fill="FFFFFF" w:val="clear"/>
            <w:tcMar>
              <w:top w:type="dxa" w:w="60"/>
              <w:left w:type="dxa" w:w="100"/>
              <w:bottom w:type="dxa" w:w="60"/>
              <w:right w:type="dxa" w:w="100"/>
            </w:tcMar>
          </w:tcPr>
          <w:p>
            <w:pPr>
              <w:jc w:val="center"/>
            </w:pPr>
            <w:r>
              <w:rPr>
                <w:b w:val="false"/>
                <w:bCs w:val="false"/>
                <w:color w:val="222222"/>
                <w:sz w:val="19"/>
                <w:szCs w:val="19"/>
              </w:rPr>
              <w:t xml:space="preserve">Legacy brand trust (since 1989); strong after-sales/service network via Tata Power</w:t>
            </w:r>
          </w:p>
        </w:tc>
        <w:tc>
          <w:tcPr>
            <w:tcW w:type="dxa" w:w="1450"/>
            <w:shd w:fill="FFFFFF" w:val="clear"/>
            <w:tcMar>
              <w:top w:type="dxa" w:w="60"/>
              <w:left w:type="dxa" w:w="100"/>
              <w:bottom w:type="dxa" w:w="60"/>
              <w:right w:type="dxa" w:w="100"/>
            </w:tcMar>
          </w:tcPr>
          <w:p>
            <w:pPr>
              <w:jc w:val="center"/>
            </w:pPr>
            <w:r>
              <w:rPr>
                <w:b w:val="false"/>
                <w:bCs w:val="false"/>
                <w:color w:val="222222"/>
                <w:sz w:val="19"/>
                <w:szCs w:val="19"/>
              </w:rPr>
              <w:t xml:space="preserve">Subsidiary of listed Tata Power</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Websol Energy System</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~0.55 GW (niche)</w:t>
            </w:r>
          </w:p>
        </w:tc>
        <w:tc>
          <w:tcPr>
            <w:tcW w:type="dxa" w:w="3600"/>
            <w:shd w:fill="F2F2F2" w:val="clear"/>
            <w:tcMar>
              <w:top w:type="dxa" w:w="60"/>
              <w:left w:type="dxa" w:w="100"/>
              <w:bottom w:type="dxa" w:w="60"/>
              <w:right w:type="dxa" w:w="100"/>
            </w:tcMar>
          </w:tcPr>
          <w:p>
            <w:pPr>
              <w:jc w:val="center"/>
            </w:pPr>
            <w:r>
              <w:rPr>
                <w:b w:val="false"/>
                <w:bCs w:val="false"/>
                <w:color w:val="222222"/>
                <w:sz w:val="19"/>
                <w:szCs w:val="19"/>
              </w:rPr>
              <w:t xml:space="preserve">Small scale but highest EBITDA margin (~44%) in peer set; niche/specialty focus</w:t>
            </w:r>
          </w:p>
        </w:tc>
        <w:tc>
          <w:tcPr>
            <w:tcW w:type="dxa" w:w="1450"/>
            <w:shd w:fill="F2F2F2" w:val="clear"/>
            <w:tcMar>
              <w:top w:type="dxa" w:w="60"/>
              <w:left w:type="dxa" w:w="100"/>
              <w:bottom w:type="dxa" w:w="60"/>
              <w:right w:type="dxa" w:w="100"/>
            </w:tcMar>
          </w:tcPr>
          <w:p>
            <w:pPr>
              <w:jc w:val="center"/>
            </w:pPr>
            <w:r>
              <w:rPr>
                <w:b w:val="false"/>
                <w:bCs w:val="false"/>
                <w:color w:val="222222"/>
                <w:sz w:val="19"/>
                <w:szCs w:val="19"/>
              </w:rPr>
              <w:t xml:space="preserve">Listed</w:t>
            </w:r>
          </w:p>
        </w:tc>
      </w:tr>
    </w:tbl>
    <w:p>
      <w:pPr>
        <w:spacing w:after="160" w:line="276"/>
      </w:pPr>
      <w:r>
        <w:rPr>
          <w:color w:val="222222"/>
          <w:sz w:val="21"/>
          <w:szCs w:val="21"/>
        </w:rPr>
        <w:t xml:space="preserve"/>
      </w:r>
    </w:p>
    <w:p>
      <w:pPr>
        <w:spacing w:after="160" w:line="276"/>
      </w:pPr>
      <w:r>
        <w:rPr>
          <w:color w:val="222222"/>
          <w:sz w:val="21"/>
          <w:szCs w:val="21"/>
        </w:rPr>
        <w:t xml:space="preserve">On direct financial comparables (peer analysis conducted around the Vikram Solar IPO, FY25 data): Waaree traded at ~37x FY25 P/E versus Premier Energies ~42x, Websol ~30x, and Vikram Solar ~68-72x (reflecting market optimism on its smaller, faster-growing base). On EBITDA margin, Websol's niche focus (~44%) dwarfs the scale players; Waaree's FY26 OPM of 22% sits mid-pack — ahead of Vikram Solar's ~14% FY25 margin, but this is a scale-vs-margin trade-off worth interrogating further in Part II's comps analysis.</w:t>
      </w:r>
    </w:p>
    <w:p>
      <w:pPr>
        <w:pStyle w:val="Heading2"/>
        <w:spacing w:after="150" w:before="300"/>
      </w:pPr>
      <w:r>
        <w:t xml:space="preserve">1.6 Porter's Five Forces — Indian Solar PV Module Manufacturing</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200"/>
        <w:gridCol w:w="1900"/>
        <w:gridCol w:w="5250"/>
      </w:tblGrid>
      <w:tr>
        <w:trPr>
          <w:tblHeader/>
        </w:trPr>
        <w:tc>
          <w:tcPr>
            <w:tcW w:type="dxa" w:w="2200"/>
            <w:shd w:fill="1F2A44" w:val="clear"/>
            <w:tcMar>
              <w:top w:type="dxa" w:w="60"/>
              <w:left w:type="dxa" w:w="100"/>
              <w:bottom w:type="dxa" w:w="60"/>
              <w:right w:type="dxa" w:w="100"/>
            </w:tcMar>
          </w:tcPr>
          <w:p>
            <w:pPr>
              <w:jc w:val="left"/>
            </w:pPr>
            <w:r>
              <w:rPr>
                <w:b/>
                <w:bCs/>
                <w:color w:val="FFFFFF"/>
                <w:sz w:val="19"/>
                <w:szCs w:val="19"/>
              </w:rPr>
              <w:t xml:space="preserve">Force</w:t>
            </w:r>
          </w:p>
        </w:tc>
        <w:tc>
          <w:tcPr>
            <w:tcW w:type="dxa" w:w="1900"/>
            <w:shd w:fill="1F2A44" w:val="clear"/>
            <w:tcMar>
              <w:top w:type="dxa" w:w="60"/>
              <w:left w:type="dxa" w:w="100"/>
              <w:bottom w:type="dxa" w:w="60"/>
              <w:right w:type="dxa" w:w="100"/>
            </w:tcMar>
          </w:tcPr>
          <w:p>
            <w:pPr>
              <w:jc w:val="center"/>
            </w:pPr>
            <w:r>
              <w:rPr>
                <w:b/>
                <w:bCs/>
                <w:color w:val="FFFFFF"/>
                <w:sz w:val="19"/>
                <w:szCs w:val="19"/>
              </w:rPr>
              <w:t xml:space="preserve">Intensity</w:t>
            </w:r>
          </w:p>
        </w:tc>
        <w:tc>
          <w:tcPr>
            <w:tcW w:type="dxa" w:w="5250"/>
            <w:shd w:fill="1F2A44" w:val="clear"/>
            <w:tcMar>
              <w:top w:type="dxa" w:w="60"/>
              <w:left w:type="dxa" w:w="100"/>
              <w:bottom w:type="dxa" w:w="60"/>
              <w:right w:type="dxa" w:w="100"/>
            </w:tcMar>
          </w:tcPr>
          <w:p>
            <w:pPr>
              <w:jc w:val="center"/>
            </w:pPr>
            <w:r>
              <w:rPr>
                <w:b/>
                <w:bCs/>
                <w:color w:val="FFFFFF"/>
                <w:sz w:val="19"/>
                <w:szCs w:val="19"/>
              </w:rPr>
              <w:t xml:space="preserve">Rationale</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Threat of New Entrants</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Moderate</w:t>
            </w:r>
          </w:p>
        </w:tc>
        <w:tc>
          <w:tcPr>
            <w:tcW w:type="dxa" w:w="5250"/>
            <w:shd w:fill="FFFFFF" w:val="clear"/>
            <w:tcMar>
              <w:top w:type="dxa" w:w="60"/>
              <w:left w:type="dxa" w:w="100"/>
              <w:bottom w:type="dxa" w:w="60"/>
              <w:right w:type="dxa" w:w="100"/>
            </w:tcMar>
          </w:tcPr>
          <w:p>
            <w:pPr>
              <w:jc w:val="center"/>
            </w:pPr>
            <w:r>
              <w:rPr>
                <w:b w:val="false"/>
                <w:bCs w:val="false"/>
                <w:color w:val="222222"/>
                <w:sz w:val="19"/>
                <w:szCs w:val="19"/>
              </w:rPr>
              <w:t xml:space="preserve">Capital intensity and PLI/ALMM listing requirements are real barriers, but government incentives have actively subsidized new entrant capacity (39.6 GW awarded to 11 firms in PLI Tranche II alone), keeping the barrier lower than pure capital cost would suggest.</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Bargaining Power of Suppliers</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High (upstream), Low (downstream logistics)</w:t>
            </w:r>
          </w:p>
        </w:tc>
        <w:tc>
          <w:tcPr>
            <w:tcW w:type="dxa" w:w="5250"/>
            <w:shd w:fill="F2F2F2" w:val="clear"/>
            <w:tcMar>
              <w:top w:type="dxa" w:w="60"/>
              <w:left w:type="dxa" w:w="100"/>
              <w:bottom w:type="dxa" w:w="60"/>
              <w:right w:type="dxa" w:w="100"/>
            </w:tcMar>
          </w:tcPr>
          <w:p>
            <w:pPr>
              <w:jc w:val="center"/>
            </w:pPr>
            <w:r>
              <w:rPr>
                <w:b w:val="false"/>
                <w:bCs w:val="false"/>
                <w:color w:val="222222"/>
                <w:sz w:val="19"/>
                <w:szCs w:val="19"/>
              </w:rPr>
              <w:t xml:space="preserve">Polysilicon/wafer supply remains globally concentrated and import-dependent for most Indian players; the ALMM List-II cell mandate from June 2026 will materially raise supplier bargaining power over non-integrated module makers specifically.</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Bargaining Power of Buyers</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Moderate-to-High</w:t>
            </w:r>
          </w:p>
        </w:tc>
        <w:tc>
          <w:tcPr>
            <w:tcW w:type="dxa" w:w="5250"/>
            <w:shd w:fill="FFFFFF" w:val="clear"/>
            <w:tcMar>
              <w:top w:type="dxa" w:w="60"/>
              <w:left w:type="dxa" w:w="100"/>
              <w:bottom w:type="dxa" w:w="60"/>
              <w:right w:type="dxa" w:w="100"/>
            </w:tcMar>
          </w:tcPr>
          <w:p>
            <w:pPr>
              <w:jc w:val="center"/>
            </w:pPr>
            <w:r>
              <w:rPr>
                <w:b w:val="false"/>
                <w:bCs w:val="false"/>
                <w:color w:val="222222"/>
                <w:sz w:val="19"/>
                <w:szCs w:val="19"/>
              </w:rPr>
              <w:t xml:space="preserve">Utility-scale buyers (SECI, state DISCOMs, large IPPs) run competitive tariff-based bidding (Section 63 TBCB), which compresses module pricing; ALMM restricts buyer choice to the approved list, partially offsetting this.</w:t>
            </w:r>
          </w:p>
        </w:tc>
      </w:tr>
      <w:tr>
        <w:tc>
          <w:tcPr>
            <w:tcW w:type="dxa" w:w="2200"/>
            <w:shd w:fill="F2F2F2" w:val="clear"/>
            <w:tcMar>
              <w:top w:type="dxa" w:w="60"/>
              <w:left w:type="dxa" w:w="100"/>
              <w:bottom w:type="dxa" w:w="60"/>
              <w:right w:type="dxa" w:w="100"/>
            </w:tcMar>
          </w:tcPr>
          <w:p>
            <w:pPr>
              <w:jc w:val="left"/>
            </w:pPr>
            <w:r>
              <w:rPr>
                <w:b/>
                <w:bCs/>
                <w:color w:val="222222"/>
                <w:sz w:val="19"/>
                <w:szCs w:val="19"/>
              </w:rPr>
              <w:t xml:space="preserve">Threat of Substitutes</w:t>
            </w:r>
          </w:p>
        </w:tc>
        <w:tc>
          <w:tcPr>
            <w:tcW w:type="dxa" w:w="1900"/>
            <w:shd w:fill="F2F2F2" w:val="clear"/>
            <w:tcMar>
              <w:top w:type="dxa" w:w="60"/>
              <w:left w:type="dxa" w:w="100"/>
              <w:bottom w:type="dxa" w:w="60"/>
              <w:right w:type="dxa" w:w="100"/>
            </w:tcMar>
          </w:tcPr>
          <w:p>
            <w:pPr>
              <w:jc w:val="center"/>
            </w:pPr>
            <w:r>
              <w:rPr>
                <w:b w:val="false"/>
                <w:bCs w:val="false"/>
                <w:color w:val="222222"/>
                <w:sz w:val="19"/>
                <w:szCs w:val="19"/>
              </w:rPr>
              <w:t xml:space="preserve">Low-Moderate</w:t>
            </w:r>
          </w:p>
        </w:tc>
        <w:tc>
          <w:tcPr>
            <w:tcW w:type="dxa" w:w="5250"/>
            <w:shd w:fill="F2F2F2" w:val="clear"/>
            <w:tcMar>
              <w:top w:type="dxa" w:w="60"/>
              <w:left w:type="dxa" w:w="100"/>
              <w:bottom w:type="dxa" w:w="60"/>
              <w:right w:type="dxa" w:w="100"/>
            </w:tcMar>
          </w:tcPr>
          <w:p>
            <w:pPr>
              <w:jc w:val="center"/>
            </w:pPr>
            <w:r>
              <w:rPr>
                <w:b w:val="false"/>
                <w:bCs w:val="false"/>
                <w:color w:val="222222"/>
                <w:sz w:val="19"/>
                <w:szCs w:val="19"/>
              </w:rPr>
              <w:t xml:space="preserve">No near-term substitute for crystalline-silicon PV at utility scale; thin-film and emerging technologies remain niche. Wind and other renewables compete for capital allocation within India's broader energy transition budget, not as a direct substitute for solar modules.</w:t>
            </w:r>
          </w:p>
        </w:tc>
      </w:tr>
      <w:tr>
        <w:tc>
          <w:tcPr>
            <w:tcW w:type="dxa" w:w="2200"/>
            <w:shd w:fill="FFFFFF" w:val="clear"/>
            <w:tcMar>
              <w:top w:type="dxa" w:w="60"/>
              <w:left w:type="dxa" w:w="100"/>
              <w:bottom w:type="dxa" w:w="60"/>
              <w:right w:type="dxa" w:w="100"/>
            </w:tcMar>
          </w:tcPr>
          <w:p>
            <w:pPr>
              <w:jc w:val="left"/>
            </w:pPr>
            <w:r>
              <w:rPr>
                <w:b/>
                <w:bCs/>
                <w:color w:val="222222"/>
                <w:sz w:val="19"/>
                <w:szCs w:val="19"/>
              </w:rPr>
              <w:t xml:space="preserve">Competitive Rivalry</w:t>
            </w:r>
          </w:p>
        </w:tc>
        <w:tc>
          <w:tcPr>
            <w:tcW w:type="dxa" w:w="1900"/>
            <w:shd w:fill="FFFFFF" w:val="clear"/>
            <w:tcMar>
              <w:top w:type="dxa" w:w="60"/>
              <w:left w:type="dxa" w:w="100"/>
              <w:bottom w:type="dxa" w:w="60"/>
              <w:right w:type="dxa" w:w="100"/>
            </w:tcMar>
          </w:tcPr>
          <w:p>
            <w:pPr>
              <w:jc w:val="center"/>
            </w:pPr>
            <w:r>
              <w:rPr>
                <w:b w:val="false"/>
                <w:bCs w:val="false"/>
                <w:color w:val="222222"/>
                <w:sz w:val="19"/>
                <w:szCs w:val="19"/>
              </w:rPr>
              <w:t xml:space="preserve">High and rising</w:t>
            </w:r>
          </w:p>
        </w:tc>
        <w:tc>
          <w:tcPr>
            <w:tcW w:type="dxa" w:w="5250"/>
            <w:shd w:fill="FFFFFF" w:val="clear"/>
            <w:tcMar>
              <w:top w:type="dxa" w:w="60"/>
              <w:left w:type="dxa" w:w="100"/>
              <w:bottom w:type="dxa" w:w="60"/>
              <w:right w:type="dxa" w:w="100"/>
            </w:tcMar>
          </w:tcPr>
          <w:p>
            <w:pPr>
              <w:jc w:val="center"/>
            </w:pPr>
            <w:r>
              <w:rPr>
                <w:b w:val="false"/>
                <w:bCs w:val="false"/>
                <w:color w:val="222222"/>
                <w:sz w:val="19"/>
                <w:szCs w:val="19"/>
              </w:rPr>
              <w:t xml:space="preserve">6+ credible Tier-1 domestic players plus persistent Chinese import pressure despite trade barriers; nameplate capacity already exceeds domestic demand, and rivalry will intensify further as ALMM List-II reshuffles the competitive set toward cell-integrated players.</w:t>
            </w:r>
          </w:p>
        </w:tc>
      </w:tr>
    </w:tbl>
    <w:p>
      <w:pPr>
        <w:pStyle w:val="Heading2"/>
        <w:spacing w:after="150" w:before="300"/>
      </w:pPr>
      <w:r>
        <w:t xml:space="preserve">1.7 SWOT Analysis — Indian Solar PV Manufacturing Industry</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4650"/>
        <w:gridCol w:w="4650"/>
      </w:tblGrid>
      <w:tr>
        <w:trPr>
          <w:tblHeader/>
        </w:trPr>
        <w:tc>
          <w:tcPr>
            <w:tcW w:type="dxa" w:w="4650"/>
            <w:shd w:fill="1F2A44" w:val="clear"/>
            <w:tcMar>
              <w:top w:type="dxa" w:w="60"/>
              <w:left w:type="dxa" w:w="100"/>
              <w:bottom w:type="dxa" w:w="60"/>
              <w:right w:type="dxa" w:w="100"/>
            </w:tcMar>
          </w:tcPr>
          <w:p>
            <w:pPr>
              <w:jc w:val="left"/>
            </w:pPr>
            <w:r>
              <w:rPr>
                <w:b/>
                <w:bCs/>
                <w:color w:val="FFFFFF"/>
                <w:sz w:val="19"/>
                <w:szCs w:val="19"/>
              </w:rPr>
              <w:t xml:space="preserve">Strengths</w:t>
            </w:r>
          </w:p>
        </w:tc>
        <w:tc>
          <w:tcPr>
            <w:tcW w:type="dxa" w:w="4650"/>
            <w:shd w:fill="1F2A44" w:val="clear"/>
            <w:tcMar>
              <w:top w:type="dxa" w:w="60"/>
              <w:left w:type="dxa" w:w="100"/>
              <w:bottom w:type="dxa" w:w="60"/>
              <w:right w:type="dxa" w:w="100"/>
            </w:tcMar>
          </w:tcPr>
          <w:p>
            <w:pPr>
              <w:jc w:val="center"/>
            </w:pPr>
            <w:r>
              <w:rPr>
                <w:b/>
                <w:bCs/>
                <w:color w:val="FFFFFF"/>
                <w:sz w:val="19"/>
                <w:szCs w:val="19"/>
              </w:rPr>
              <w:t xml:space="preserve">Weaknesses</w:t>
            </w:r>
          </w:p>
        </w:tc>
      </w:tr>
      <w:tr>
        <w:tc>
          <w:tcPr>
            <w:tcW w:type="dxa" w:w="4650"/>
            <w:shd w:fill="FFFFFF" w:val="clear"/>
            <w:tcMar>
              <w:top w:type="dxa" w:w="60"/>
              <w:left w:type="dxa" w:w="100"/>
              <w:bottom w:type="dxa" w:w="60"/>
              <w:right w:type="dxa" w:w="100"/>
            </w:tcMar>
          </w:tcPr>
          <w:p>
            <w:pPr>
              <w:jc w:val="left"/>
            </w:pPr>
            <w:r>
              <w:rPr>
                <w:b/>
                <w:bCs/>
                <w:color w:val="222222"/>
                <w:sz w:val="19"/>
                <w:szCs w:val="19"/>
              </w:rPr>
              <w:t xml:space="preserve">• Strong multi-year policy tailwind (ALMM, BCD, PLI, GST cut)
• Large, credible domestic demand base (500 GW 2030 target)
• Proven cost-competitiveness vs. non-Chinese global peers
• Growing export credibility, especially into US/EU "China+1" flows</w:t>
            </w:r>
          </w:p>
        </w:tc>
        <w:tc>
          <w:tcPr>
            <w:tcW w:type="dxa" w:w="4650"/>
            <w:shd w:fill="FFFFFF" w:val="clear"/>
            <w:tcMar>
              <w:top w:type="dxa" w:w="60"/>
              <w:left w:type="dxa" w:w="100"/>
              <w:bottom w:type="dxa" w:w="60"/>
              <w:right w:type="dxa" w:w="100"/>
            </w:tcMar>
          </w:tcPr>
          <w:p>
            <w:pPr>
              <w:jc w:val="center"/>
            </w:pPr>
            <w:r>
              <w:rPr>
                <w:b w:val="false"/>
                <w:bCs w:val="false"/>
                <w:color w:val="222222"/>
                <w:sz w:val="19"/>
                <w:szCs w:val="19"/>
              </w:rPr>
              <w:t xml:space="preserve">• Heavy import dependence on polysilicon, wafers, and manufacturing equipment
• PLI execution has lagged targets industry-wide
• Overcapacity at module level relative to domestic demand
• Working-capital-intensive business models across most players</w:t>
            </w:r>
          </w:p>
        </w:tc>
      </w:tr>
    </w:tbl>
    <w:p>
      <w:pPr>
        <w:spacing w:after="160" w:line="276"/>
      </w:pPr>
      <w:r>
        <w:rPr>
          <w:color w:val="222222"/>
          <w:sz w:val="21"/>
          <w:szCs w:val="21"/>
        </w:rPr>
        <w:t xml:space="preserve"/>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4650"/>
        <w:gridCol w:w="4650"/>
      </w:tblGrid>
      <w:tr>
        <w:trPr>
          <w:tblHeader/>
        </w:trPr>
        <w:tc>
          <w:tcPr>
            <w:tcW w:type="dxa" w:w="4650"/>
            <w:shd w:fill="1F2A44" w:val="clear"/>
            <w:tcMar>
              <w:top w:type="dxa" w:w="60"/>
              <w:left w:type="dxa" w:w="100"/>
              <w:bottom w:type="dxa" w:w="60"/>
              <w:right w:type="dxa" w:w="100"/>
            </w:tcMar>
          </w:tcPr>
          <w:p>
            <w:pPr>
              <w:jc w:val="left"/>
            </w:pPr>
            <w:r>
              <w:rPr>
                <w:b/>
                <w:bCs/>
                <w:color w:val="FFFFFF"/>
                <w:sz w:val="19"/>
                <w:szCs w:val="19"/>
              </w:rPr>
              <w:t xml:space="preserve">Opportunities</w:t>
            </w:r>
          </w:p>
        </w:tc>
        <w:tc>
          <w:tcPr>
            <w:tcW w:type="dxa" w:w="4650"/>
            <w:shd w:fill="1F2A44" w:val="clear"/>
            <w:tcMar>
              <w:top w:type="dxa" w:w="60"/>
              <w:left w:type="dxa" w:w="100"/>
              <w:bottom w:type="dxa" w:w="60"/>
              <w:right w:type="dxa" w:w="100"/>
            </w:tcMar>
          </w:tcPr>
          <w:p>
            <w:pPr>
              <w:jc w:val="center"/>
            </w:pPr>
            <w:r>
              <w:rPr>
                <w:b/>
                <w:bCs/>
                <w:color w:val="FFFFFF"/>
                <w:sz w:val="19"/>
                <w:szCs w:val="19"/>
              </w:rPr>
              <w:t xml:space="preserve">Threats</w:t>
            </w:r>
          </w:p>
        </w:tc>
      </w:tr>
      <w:tr>
        <w:tc>
          <w:tcPr>
            <w:tcW w:type="dxa" w:w="4650"/>
            <w:shd w:fill="FFFFFF" w:val="clear"/>
            <w:tcMar>
              <w:top w:type="dxa" w:w="60"/>
              <w:left w:type="dxa" w:w="100"/>
              <w:bottom w:type="dxa" w:w="60"/>
              <w:right w:type="dxa" w:w="100"/>
            </w:tcMar>
          </w:tcPr>
          <w:p>
            <w:pPr>
              <w:jc w:val="left"/>
            </w:pPr>
            <w:r>
              <w:rPr>
                <w:b/>
                <w:bCs/>
                <w:color w:val="222222"/>
                <w:sz w:val="19"/>
                <w:szCs w:val="19"/>
              </w:rPr>
              <w:t xml:space="preserve">• Backward integration into cells/wafers/polysilicon (higher margin, ALMM List-II compliance)
• Export diversification beyond the US (EU, Middle East, Africa, Southeast Asia)
• Adjacent diversification: BESS, green hydrogen/electrolyzers, inverters
• Consolidation of smaller/uncompetitive players</w:t>
            </w:r>
          </w:p>
        </w:tc>
        <w:tc>
          <w:tcPr>
            <w:tcW w:type="dxa" w:w="4650"/>
            <w:shd w:fill="FFFFFF" w:val="clear"/>
            <w:tcMar>
              <w:top w:type="dxa" w:w="60"/>
              <w:left w:type="dxa" w:w="100"/>
              <w:bottom w:type="dxa" w:w="60"/>
              <w:right w:type="dxa" w:w="100"/>
            </w:tcMar>
          </w:tcPr>
          <w:p>
            <w:pPr>
              <w:jc w:val="center"/>
            </w:pPr>
            <w:r>
              <w:rPr>
                <w:b w:val="false"/>
                <w:bCs w:val="false"/>
                <w:color w:val="222222"/>
                <w:sz w:val="19"/>
                <w:szCs w:val="19"/>
              </w:rPr>
              <w:t xml:space="preserve">• Renewed Chinese dumping if global trade barriers ease
• US/EU trade policy shifts affecting export economics
• Technology obsolescence risk (PERC → TOPCon → HJT transition)
• Policy reversal or slower-than-planned ALMM/PLI enforcement</w:t>
            </w:r>
          </w:p>
        </w:tc>
      </w:tr>
    </w:tbl>
    <w:p>
      <w:pPr>
        <w:pStyle w:val="Heading2"/>
        <w:spacing w:after="150" w:before="300"/>
      </w:pPr>
      <w:r>
        <w:t xml:space="preserve">1.8 Industry Life Cycle Stage</w:t>
      </w:r>
    </w:p>
    <w:p>
      <w:pPr>
        <w:spacing w:after="160" w:line="276"/>
      </w:pPr>
      <w:r>
        <w:rPr>
          <w:color w:val="222222"/>
          <w:sz w:val="21"/>
          <w:szCs w:val="21"/>
        </w:rPr>
        <w:t xml:space="preserve">Indian solar PV manufacturing sits at the growth stage of its life cycle, but with important internal bifurcation: module assembly, having scaled roughly 12x from 8.2 GW to 100 GW of ALMM-listed capacity between March 2021 and August 2025, is arguably approaching the early-maturity/consolidation phase at the module-assembly layer specifically (evidenced by the overcapacity dynamic noted above), while the upstream layers — cells, wafers, ingots, and polysilicon — remain firmly in early-growth, with cell capacity needing to roughly triple from ~30 GW to potentially 100 GW by December 2027 to meet ALMM List-II requirements. This bifurcation matters directly for Waaree: the company's economics depend on how successfully and quickly it migrates its own capacity mix up this same curve.</w:t>
      </w:r>
    </w:p>
    <w:p>
      <w:pPr>
        <w:pStyle w:val="Heading2"/>
        <w:spacing w:after="150" w:before="300"/>
      </w:pPr>
      <w:r>
        <w:t xml:space="preserve">1.9 Demand Drivers &amp; Cost Structure</w:t>
      </w:r>
    </w:p>
    <w:p>
      <w:pPr>
        <w:spacing w:after="160" w:line="276"/>
      </w:pPr>
      <w:r>
        <w:rPr>
          <w:color w:val="222222"/>
          <w:sz w:val="21"/>
          <w:szCs w:val="21"/>
        </w:rPr>
        <w:t xml:space="preserve">Demand-side, the dominant driver is government-directed utility-scale procurement (SECI, DISCOM tenders, PM-KUSUM, PM Surya Ghar rooftop subsidy) layered with corporate/commercial PPAs and a growing export book. Cost-structure-side, module manufacturing is materially raw-material-intensive: polysilicon, wafers, and cells (whether sourced or self-manufactured) typically represent the majority of module cost, with the ALMM List-II transition expected to add 3-7 cents/Wp to costs for players reliant on imported cells versus those with domestic/integrated cell supply — making the make-vs-buy cell decision the single largest structural cost lever industry-wide over the next 18-24 months.</w:t>
      </w:r>
    </w:p>
    <w:p>
      <w:pPr>
        <w:spacing w:after="400" w:before="200"/>
      </w:pPr>
      <w:r>
        <w:rPr>
          <w:i/>
          <w:iCs/>
          <w:color w:val="777777"/>
          <w:sz w:val="15"/>
          <w:szCs w:val="15"/>
        </w:rPr>
        <w:t xml:space="preserve">Sources: IEEFA/JMK Research (2023, 2025); CEEW (2025); ICRA sector note (2026); pv magazine India; India Briefing / China Briefing investor guides; company comparisons via Equitymaster, ipocentral.in, Goodreturns.</w:t>
      </w:r>
    </w:p>
    <w:p>
      <w:r>
        <w:br w:type="page"/>
      </w:r>
    </w:p>
    <w:p>
      <w:pPr>
        <w:pStyle w:val="Heading1"/>
        <w:spacing w:after="200" w:before="400"/>
      </w:pPr>
      <w:r>
        <w:t xml:space="preserve">2. Company Research — Waaree Energies Limited</w:t>
      </w:r>
    </w:p>
    <w:p>
      <w:pPr>
        <w:pStyle w:val="Heading2"/>
        <w:spacing w:after="150" w:before="300"/>
      </w:pPr>
      <w:r>
        <w:t xml:space="preserve">2.1 Business Model &amp; Segments</w:t>
      </w:r>
    </w:p>
    <w:p>
      <w:pPr>
        <w:spacing w:after="160" w:line="276"/>
      </w:pPr>
      <w:r>
        <w:rPr>
          <w:color w:val="222222"/>
          <w:sz w:val="21"/>
          <w:szCs w:val="21"/>
        </w:rPr>
        <w:t xml:space="preserve">Waaree Energies Limited was incorporated in December 1990 and is headquartered in Mumbai, with its solar operations dating to 2007. The company operates through three reportable segments:</w:t>
      </w:r>
    </w:p>
    <w:p>
      <w:pPr>
        <w:pStyle w:val="ListParagraph"/>
        <w:numPr>
          <w:ilvl w:val="0"/>
          <w:numId w:val="1"/>
        </w:numPr>
        <w:spacing w:after="90" w:line="276"/>
      </w:pPr>
      <w:r>
        <w:rPr>
          <w:color w:val="222222"/>
          <w:sz w:val="21"/>
          <w:szCs w:val="21"/>
        </w:rPr>
        <w:t xml:space="preserve">Solar PV Module Manufacturing (core segment): manufactures and exports monocrystalline PERC, N-Type TOPCon, HJT (heterojunction), polycrystalline, bifacial, flexible, and special-application modules, sold under brands including the ARKA and Aditya (residential) and Elite (high-wattage, up to 715W) series.</w:t>
      </w:r>
    </w:p>
    <w:p>
      <w:pPr>
        <w:pStyle w:val="ListParagraph"/>
        <w:numPr>
          <w:ilvl w:val="0"/>
          <w:numId w:val="1"/>
        </w:numPr>
        <w:spacing w:after="90" w:line="276"/>
      </w:pPr>
      <w:r>
        <w:rPr>
          <w:color w:val="222222"/>
          <w:sz w:val="21"/>
          <w:szCs w:val="21"/>
        </w:rPr>
        <w:t xml:space="preserve">EPC &amp; O&amp;M Solutions: engineering, procurement and construction for ground-mount, floating, and rooftop solar projects, plus operations &amp; maintenance services (testing, cleaning, preventive maintenance, corrective repairs).</w:t>
      </w:r>
    </w:p>
    <w:p>
      <w:pPr>
        <w:pStyle w:val="ListParagraph"/>
        <w:numPr>
          <w:ilvl w:val="0"/>
          <w:numId w:val="1"/>
        </w:numPr>
        <w:spacing w:after="90" w:line="276"/>
      </w:pPr>
      <w:r>
        <w:rPr>
          <w:color w:val="222222"/>
          <w:sz w:val="21"/>
          <w:szCs w:val="21"/>
        </w:rPr>
        <w:t xml:space="preserve">Independent Power Producer (IPP): owns and operates renewable generation assets, selling electricity directly — a smaller, higher-margin, capital-intensive segment that also serves as a demand outlet for the company's own modules.</w:t>
      </w:r>
    </w:p>
    <w:p>
      <w:pPr>
        <w:spacing w:after="160" w:line="276"/>
      </w:pPr>
      <w:r>
        <w:rPr>
          <w:color w:val="222222"/>
          <w:sz w:val="21"/>
          <w:szCs w:val="21"/>
        </w:rPr>
        <w:t xml:space="preserve">The company has begun diversifying its product envelope beyond core PV: it offers off-grid and on-grid inverters, solar streetlights, water heaters and pumps, and — via 2025 acquisitions — has moved into battery energy storage systems (BESS), green hydrogen/alkaline electrolyzer turnkey solutions, transformers, and smart meters.</w:t>
      </w:r>
    </w:p>
    <w:p>
      <w:pPr>
        <w:pStyle w:val="Heading2"/>
        <w:spacing w:after="150" w:before="300"/>
      </w:pPr>
      <w:r>
        <w:t xml:space="preserve">2.2 Manufacturing Footprint &amp; Capacity</w:t>
      </w:r>
    </w:p>
    <w:p>
      <w:pPr>
        <w:spacing w:after="160" w:line="276"/>
      </w:pPr>
      <w:r>
        <w:rPr>
          <w:color w:val="222222"/>
          <w:sz w:val="21"/>
          <w:szCs w:val="21"/>
        </w:rPr>
        <w:t xml:space="preserve">Waaree operates five solar module manufacturing facilities in India (principal sites in Surat, Tumb, Nandigram, Chikhli, and Modasa/Surat cluster in Gujarat), with an installed module capacity that has scaled from roughly 9 GW to approximately 12-15 GW through FY25-FY26, and a stated ambition toward 20 GW. Backward integration into solar cells is underway (2.3 GW of cell production in FY26 versus effectively 0.1 GW in FY25 — a &gt;20x increase, though still a small fraction of module capacity), directly addressing the ALMM List-II exposure discussed in Section 1.3. The company has also established Waaree Solar Americas Inc. to build a US manufacturing/commercial presence, a direct hedge against export trade-policy risk.</w:t>
      </w:r>
    </w:p>
    <w:p>
      <w:pPr>
        <w:pStyle w:val="Heading2"/>
        <w:spacing w:after="150" w:before="300"/>
      </w:pPr>
      <w:r>
        <w:t xml:space="preserve">2.3 Revenue &amp; Customer Base</w:t>
      </w:r>
    </w:p>
    <w:p>
      <w:pPr>
        <w:spacing w:after="160" w:line="276"/>
      </w:pPr>
      <w:r>
        <w:rPr>
          <w:color w:val="222222"/>
          <w:sz w:val="21"/>
          <w:szCs w:val="21"/>
        </w:rPr>
        <w:t xml:space="preserve">Waaree's revenue is a blend of large-scale utility/EPC contracts, direct module sales to Indian and export customers (historically 70%+ export-weighted per some industry comparisons, though this share should be verified against the FY26 annual report segment note once available), and a growing IPP generation revenue stream. Export markets, principally the United States, represent a structurally important and higher-scrutiny revenue pool given the 2026 U.S. Customs and Border Protection (CBP) inquiry into potential Chinese-origin solar cell content in Waaree's US-bound shipments; the company's public statement asserts CBP found no broad evasion and that its US operations continue unaffected, though the matter and any residual legal remedies remain a live monitoring item.</w:t>
      </w:r>
    </w:p>
    <w:p>
      <w:pPr>
        <w:pStyle w:val="Heading2"/>
        <w:spacing w:after="150" w:before="300"/>
      </w:pPr>
      <w:r>
        <w:t xml:space="preserve">2.4 Competitive Advantage</w:t>
      </w:r>
    </w:p>
    <w:p>
      <w:pPr>
        <w:pStyle w:val="ListParagraph"/>
        <w:numPr>
          <w:ilvl w:val="0"/>
          <w:numId w:val="1"/>
        </w:numPr>
        <w:spacing w:after="90" w:line="276"/>
      </w:pPr>
      <w:r>
        <w:rPr>
          <w:color w:val="222222"/>
          <w:sz w:val="21"/>
          <w:szCs w:val="21"/>
        </w:rPr>
        <w:t xml:space="preserve">Scale: largest non-Chinese module manufacturer globally and the largest Indian manufacturer by installed capacity, which supports procurement leverage and per-unit cost advantages.</w:t>
      </w:r>
    </w:p>
    <w:p>
      <w:pPr>
        <w:pStyle w:val="ListParagraph"/>
        <w:numPr>
          <w:ilvl w:val="0"/>
          <w:numId w:val="1"/>
        </w:numPr>
        <w:spacing w:after="90" w:line="276"/>
      </w:pPr>
      <w:r>
        <w:rPr>
          <w:color w:val="222222"/>
          <w:sz w:val="21"/>
          <w:szCs w:val="21"/>
        </w:rPr>
        <w:t xml:space="preserve">Distribution breadth: the widest dealer/installer/franchisee network among Indian peers, giving it retail/residential channel reach that more vertically-focused or utility-only peers (e.g., Adani) do not match.</w:t>
      </w:r>
    </w:p>
    <w:p>
      <w:pPr>
        <w:pStyle w:val="ListParagraph"/>
        <w:numPr>
          <w:ilvl w:val="0"/>
          <w:numId w:val="1"/>
        </w:numPr>
        <w:spacing w:after="90" w:line="276"/>
      </w:pPr>
      <w:r>
        <w:rPr>
          <w:color w:val="222222"/>
          <w:sz w:val="21"/>
          <w:szCs w:val="21"/>
        </w:rPr>
        <w:t xml:space="preserve">Product breadth: spans budget polycrystalline through premium HJT (up to ~23.5% efficiency) and ultra-high-wattage (715W) modules, letting it serve both cost-sensitive DCR/subsidy-linked residential demand and premium utility-scale/commercial demand from one platform.</w:t>
      </w:r>
    </w:p>
    <w:p>
      <w:pPr>
        <w:pStyle w:val="ListParagraph"/>
        <w:numPr>
          <w:ilvl w:val="0"/>
          <w:numId w:val="1"/>
        </w:numPr>
        <w:spacing w:after="90" w:line="276"/>
      </w:pPr>
      <w:r>
        <w:rPr>
          <w:color w:val="222222"/>
          <w:sz w:val="21"/>
          <w:szCs w:val="21"/>
        </w:rPr>
        <w:t xml:space="preserve">First-mover public-market access: as one of the earliest Indian solar pure-plays to list (Oct 2024), Waaree has had earlier and cheaper access to public equity capital (QIP approval for up to ₹10,000 Cr in 2026) than several peers, funding its capex cycle without proportionate reliance on debt.</w:t>
      </w:r>
    </w:p>
    <w:p>
      <w:pPr>
        <w:pStyle w:val="ListParagraph"/>
        <w:numPr>
          <w:ilvl w:val="0"/>
          <w:numId w:val="1"/>
        </w:numPr>
        <w:spacing w:after="90" w:line="276"/>
      </w:pPr>
      <w:r>
        <w:rPr>
          <w:color w:val="222222"/>
          <w:sz w:val="21"/>
          <w:szCs w:val="21"/>
        </w:rPr>
        <w:t xml:space="preserve">Early US manufacturing presence via Waaree Solar Americas — a structural hedge that pure India-based exporters lack.</w:t>
      </w:r>
    </w:p>
    <w:p>
      <w:pPr>
        <w:pStyle w:val="Heading2"/>
        <w:spacing w:after="150" w:before="300"/>
      </w:pPr>
      <w:r>
        <w:t xml:space="preserve">2.5 Management &amp; Corporate Governance</w:t>
      </w:r>
    </w:p>
    <w:p>
      <w:pPr>
        <w:spacing w:after="160" w:line="276"/>
      </w:pPr>
      <w:r>
        <w:rPr>
          <w:color w:val="222222"/>
          <w:sz w:val="21"/>
          <w:szCs w:val="21"/>
        </w:rPr>
        <w:t xml:space="preserve">The company is led by Hitesh Doshi (Chairman &amp; Managing Director), a promoter-founder with a multi-decade history in the business dating to its 1990 incorporation. Promoter shareholding stood at 64.19% as of March 2026, down modestly from 64.31% a year earlier — a level that signals continued strong promoter alignment while leaving a meaningful public float. FII holding rose sharply over FY26, from 0.70% (March 2025) to 7.06% (March 2026), and DII holding rose from 2.46% to 4.32% over the same period — both indicative of increasing institutional comfort with the stock post-IPO. Public shareholding correspondingly declined from 32.53% to 24.44%. SEBI granted the promoter trust an exemption from the open-offer rule in connection with succession planning, a governance item worth tracking given its relevance to long-term control continuity.</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3600"/>
        <w:gridCol w:w="2850"/>
        <w:gridCol w:w="2850"/>
      </w:tblGrid>
      <w:tr>
        <w:trPr>
          <w:tblHeader/>
        </w:trPr>
        <w:tc>
          <w:tcPr>
            <w:tcW w:type="dxa" w:w="3600"/>
            <w:shd w:fill="1F2A44" w:val="clear"/>
            <w:tcMar>
              <w:top w:type="dxa" w:w="60"/>
              <w:left w:type="dxa" w:w="100"/>
              <w:bottom w:type="dxa" w:w="60"/>
              <w:right w:type="dxa" w:w="100"/>
            </w:tcMar>
          </w:tcPr>
          <w:p>
            <w:pPr>
              <w:jc w:val="left"/>
            </w:pPr>
            <w:r>
              <w:rPr>
                <w:b/>
                <w:bCs/>
                <w:color w:val="FFFFFF"/>
                <w:sz w:val="19"/>
                <w:szCs w:val="19"/>
              </w:rPr>
              <w:t xml:space="preserve">Shareholder Category</w:t>
            </w:r>
          </w:p>
        </w:tc>
        <w:tc>
          <w:tcPr>
            <w:tcW w:type="dxa" w:w="2850"/>
            <w:shd w:fill="1F2A44" w:val="clear"/>
            <w:tcMar>
              <w:top w:type="dxa" w:w="60"/>
              <w:left w:type="dxa" w:w="100"/>
              <w:bottom w:type="dxa" w:w="60"/>
              <w:right w:type="dxa" w:w="100"/>
            </w:tcMar>
          </w:tcPr>
          <w:p>
            <w:pPr>
              <w:jc w:val="center"/>
            </w:pPr>
            <w:r>
              <w:rPr>
                <w:b/>
                <w:bCs/>
                <w:color w:val="FFFFFF"/>
                <w:sz w:val="19"/>
                <w:szCs w:val="19"/>
              </w:rPr>
              <w:t xml:space="preserve">Mar 2025</w:t>
            </w:r>
          </w:p>
        </w:tc>
        <w:tc>
          <w:tcPr>
            <w:tcW w:type="dxa" w:w="2850"/>
            <w:shd w:fill="1F2A44" w:val="clear"/>
            <w:tcMar>
              <w:top w:type="dxa" w:w="60"/>
              <w:left w:type="dxa" w:w="100"/>
              <w:bottom w:type="dxa" w:w="60"/>
              <w:right w:type="dxa" w:w="100"/>
            </w:tcMar>
          </w:tcPr>
          <w:p>
            <w:pPr>
              <w:jc w:val="center"/>
            </w:pPr>
            <w:r>
              <w:rPr>
                <w:b/>
                <w:bCs/>
                <w:color w:val="FFFFFF"/>
                <w:sz w:val="19"/>
                <w:szCs w:val="19"/>
              </w:rPr>
              <w:t xml:space="preserve">Mar 2026</w:t>
            </w:r>
          </w:p>
        </w:tc>
      </w:tr>
      <w:tr>
        <w:tc>
          <w:tcPr>
            <w:tcW w:type="dxa" w:w="3600"/>
            <w:shd w:fill="FFFFFF" w:val="clear"/>
            <w:tcMar>
              <w:top w:type="dxa" w:w="60"/>
              <w:left w:type="dxa" w:w="100"/>
              <w:bottom w:type="dxa" w:w="60"/>
              <w:right w:type="dxa" w:w="100"/>
            </w:tcMar>
          </w:tcPr>
          <w:p>
            <w:pPr>
              <w:jc w:val="left"/>
            </w:pPr>
            <w:r>
              <w:rPr>
                <w:b/>
                <w:bCs/>
                <w:color w:val="222222"/>
                <w:sz w:val="19"/>
                <w:szCs w:val="19"/>
              </w:rPr>
              <w:t xml:space="preserve">Promoters</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64.31%</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64.19%</w:t>
            </w:r>
          </w:p>
        </w:tc>
      </w:tr>
      <w:tr>
        <w:tc>
          <w:tcPr>
            <w:tcW w:type="dxa" w:w="3600"/>
            <w:shd w:fill="F2F2F2" w:val="clear"/>
            <w:tcMar>
              <w:top w:type="dxa" w:w="60"/>
              <w:left w:type="dxa" w:w="100"/>
              <w:bottom w:type="dxa" w:w="60"/>
              <w:right w:type="dxa" w:w="100"/>
            </w:tcMar>
          </w:tcPr>
          <w:p>
            <w:pPr>
              <w:jc w:val="left"/>
            </w:pPr>
            <w:r>
              <w:rPr>
                <w:b/>
                <w:bCs/>
                <w:color w:val="222222"/>
                <w:sz w:val="19"/>
                <w:szCs w:val="19"/>
              </w:rPr>
              <w:t xml:space="preserve">FIIs</w:t>
            </w:r>
          </w:p>
        </w:tc>
        <w:tc>
          <w:tcPr>
            <w:tcW w:type="dxa" w:w="2850"/>
            <w:shd w:fill="F2F2F2" w:val="clear"/>
            <w:tcMar>
              <w:top w:type="dxa" w:w="60"/>
              <w:left w:type="dxa" w:w="100"/>
              <w:bottom w:type="dxa" w:w="60"/>
              <w:right w:type="dxa" w:w="100"/>
            </w:tcMar>
          </w:tcPr>
          <w:p>
            <w:pPr>
              <w:jc w:val="center"/>
            </w:pPr>
            <w:r>
              <w:rPr>
                <w:b w:val="false"/>
                <w:bCs w:val="false"/>
                <w:color w:val="222222"/>
                <w:sz w:val="19"/>
                <w:szCs w:val="19"/>
              </w:rPr>
              <w:t xml:space="preserve">0.70%</w:t>
            </w:r>
          </w:p>
        </w:tc>
        <w:tc>
          <w:tcPr>
            <w:tcW w:type="dxa" w:w="2850"/>
            <w:shd w:fill="F2F2F2" w:val="clear"/>
            <w:tcMar>
              <w:top w:type="dxa" w:w="60"/>
              <w:left w:type="dxa" w:w="100"/>
              <w:bottom w:type="dxa" w:w="60"/>
              <w:right w:type="dxa" w:w="100"/>
            </w:tcMar>
          </w:tcPr>
          <w:p>
            <w:pPr>
              <w:jc w:val="center"/>
            </w:pPr>
            <w:r>
              <w:rPr>
                <w:b w:val="false"/>
                <w:bCs w:val="false"/>
                <w:color w:val="222222"/>
                <w:sz w:val="19"/>
                <w:szCs w:val="19"/>
              </w:rPr>
              <w:t xml:space="preserve">7.06%</w:t>
            </w:r>
          </w:p>
        </w:tc>
      </w:tr>
      <w:tr>
        <w:tc>
          <w:tcPr>
            <w:tcW w:type="dxa" w:w="3600"/>
            <w:shd w:fill="FFFFFF" w:val="clear"/>
            <w:tcMar>
              <w:top w:type="dxa" w:w="60"/>
              <w:left w:type="dxa" w:w="100"/>
              <w:bottom w:type="dxa" w:w="60"/>
              <w:right w:type="dxa" w:w="100"/>
            </w:tcMar>
          </w:tcPr>
          <w:p>
            <w:pPr>
              <w:jc w:val="left"/>
            </w:pPr>
            <w:r>
              <w:rPr>
                <w:b/>
                <w:bCs/>
                <w:color w:val="222222"/>
                <w:sz w:val="19"/>
                <w:szCs w:val="19"/>
              </w:rPr>
              <w:t xml:space="preserve">DIIs</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2.46%</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4.32%</w:t>
            </w:r>
          </w:p>
        </w:tc>
      </w:tr>
      <w:tr>
        <w:tc>
          <w:tcPr>
            <w:tcW w:type="dxa" w:w="3600"/>
            <w:shd w:fill="F2F2F2" w:val="clear"/>
            <w:tcMar>
              <w:top w:type="dxa" w:w="60"/>
              <w:left w:type="dxa" w:w="100"/>
              <w:bottom w:type="dxa" w:w="60"/>
              <w:right w:type="dxa" w:w="100"/>
            </w:tcMar>
          </w:tcPr>
          <w:p>
            <w:pPr>
              <w:jc w:val="left"/>
            </w:pPr>
            <w:r>
              <w:rPr>
                <w:b/>
                <w:bCs/>
                <w:color w:val="222222"/>
                <w:sz w:val="19"/>
                <w:szCs w:val="19"/>
              </w:rPr>
              <w:t xml:space="preserve">Public</w:t>
            </w:r>
          </w:p>
        </w:tc>
        <w:tc>
          <w:tcPr>
            <w:tcW w:type="dxa" w:w="2850"/>
            <w:shd w:fill="F2F2F2" w:val="clear"/>
            <w:tcMar>
              <w:top w:type="dxa" w:w="60"/>
              <w:left w:type="dxa" w:w="100"/>
              <w:bottom w:type="dxa" w:w="60"/>
              <w:right w:type="dxa" w:w="100"/>
            </w:tcMar>
          </w:tcPr>
          <w:p>
            <w:pPr>
              <w:jc w:val="center"/>
            </w:pPr>
            <w:r>
              <w:rPr>
                <w:b w:val="false"/>
                <w:bCs w:val="false"/>
                <w:color w:val="222222"/>
                <w:sz w:val="19"/>
                <w:szCs w:val="19"/>
              </w:rPr>
              <w:t xml:space="preserve">32.53%</w:t>
            </w:r>
          </w:p>
        </w:tc>
        <w:tc>
          <w:tcPr>
            <w:tcW w:type="dxa" w:w="2850"/>
            <w:shd w:fill="F2F2F2" w:val="clear"/>
            <w:tcMar>
              <w:top w:type="dxa" w:w="60"/>
              <w:left w:type="dxa" w:w="100"/>
              <w:bottom w:type="dxa" w:w="60"/>
              <w:right w:type="dxa" w:w="100"/>
            </w:tcMar>
          </w:tcPr>
          <w:p>
            <w:pPr>
              <w:jc w:val="center"/>
            </w:pPr>
            <w:r>
              <w:rPr>
                <w:b w:val="false"/>
                <w:bCs w:val="false"/>
                <w:color w:val="222222"/>
                <w:sz w:val="19"/>
                <w:szCs w:val="19"/>
              </w:rPr>
              <w:t xml:space="preserve">24.44%</w:t>
            </w:r>
          </w:p>
        </w:tc>
      </w:tr>
      <w:tr>
        <w:tc>
          <w:tcPr>
            <w:tcW w:type="dxa" w:w="3600"/>
            <w:shd w:fill="FFFFFF" w:val="clear"/>
            <w:tcMar>
              <w:top w:type="dxa" w:w="60"/>
              <w:left w:type="dxa" w:w="100"/>
              <w:bottom w:type="dxa" w:w="60"/>
              <w:right w:type="dxa" w:w="100"/>
            </w:tcMar>
          </w:tcPr>
          <w:p>
            <w:pPr>
              <w:jc w:val="left"/>
            </w:pPr>
            <w:r>
              <w:rPr>
                <w:b/>
                <w:bCs/>
                <w:color w:val="222222"/>
                <w:sz w:val="19"/>
                <w:szCs w:val="19"/>
              </w:rPr>
              <w:t xml:space="preserve">No. of Shareholders</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8,51,028</w:t>
            </w:r>
          </w:p>
        </w:tc>
        <w:tc>
          <w:tcPr>
            <w:tcW w:type="dxa" w:w="2850"/>
            <w:shd w:fill="FFFFFF" w:val="clear"/>
            <w:tcMar>
              <w:top w:type="dxa" w:w="60"/>
              <w:left w:type="dxa" w:w="100"/>
              <w:bottom w:type="dxa" w:w="60"/>
              <w:right w:type="dxa" w:w="100"/>
            </w:tcMar>
          </w:tcPr>
          <w:p>
            <w:pPr>
              <w:jc w:val="center"/>
            </w:pPr>
            <w:r>
              <w:rPr>
                <w:b w:val="false"/>
                <w:bCs w:val="false"/>
                <w:color w:val="222222"/>
                <w:sz w:val="19"/>
                <w:szCs w:val="19"/>
              </w:rPr>
              <w:t xml:space="preserve">6,83,301</w:t>
            </w:r>
          </w:p>
        </w:tc>
      </w:tr>
    </w:tbl>
    <w:p>
      <w:pPr>
        <w:spacing w:after="160" w:line="276"/>
      </w:pPr>
      <w:r>
        <w:rPr>
          <w:color w:val="222222"/>
          <w:sz w:val="21"/>
          <w:szCs w:val="21"/>
        </w:rPr>
        <w:t xml:space="preserve"/>
      </w:r>
    </w:p>
    <w:p>
      <w:pPr>
        <w:spacing w:after="160" w:line="276"/>
      </w:pPr>
      <w:r>
        <w:rPr>
          <w:color w:val="222222"/>
          <w:sz w:val="21"/>
          <w:szCs w:val="21"/>
        </w:rPr>
        <w:t xml:space="preserve">Recent governance-relevant events to track in Part II's qualitative risk section: resignation of the Chief Procurement Officer (effective June 19, 2026); deregistration of the Australian subsidiary (June 2026); and the pending 100% acquisition of Waaree Semicon Private Limited alongside the ₹10,000 Cr QIP approval, both signalling an accelerating, acquisition-led diversification strategy that increases execution and integration risk alongside growth optionality.</w:t>
      </w:r>
    </w:p>
    <w:p>
      <w:pPr>
        <w:pStyle w:val="Heading2"/>
        <w:spacing w:after="150" w:before="300"/>
      </w:pPr>
      <w:r>
        <w:t xml:space="preserve">2.6 Capital Allocation</w:t>
      </w:r>
    </w:p>
    <w:p>
      <w:pPr>
        <w:spacing w:after="160" w:line="276"/>
      </w:pPr>
      <w:r>
        <w:rPr>
          <w:color w:val="222222"/>
          <w:sz w:val="21"/>
          <w:szCs w:val="21"/>
        </w:rPr>
        <w:t xml:space="preserve">Waaree's capital allocation since listing has been aggressively growth-oriented: cash used in investing activities has risen from ₹22 Cr (FY20) to ₹3,953 Cr (FY26), reflecting sustained capacity capex and, increasingly, M&amp;A (2025 acquisitions of majority stakes in Kotsons Private Limited and Racemosa Energy, plus the pending Waaree Semicon acquisition and the FY25 Enel Green Power India share purchase agreement). This has been funded primarily through equity (the Oct 2024 IPO raised ~₹3,600 Cr in fresh issue; a further ₹10,000 Cr QIP was approved in 2026) and rising borrowings (up from ₹553 Cr in FY24 to ₹3,213 Cr in FY26), rather than internal cash generation alone — a point examined quantitatively in Section 4. The company declared a maiden dividend in FY26 (₹2/share, a 20% payout on face value, translating to a low ~2% payout ratio on earnings), signalling that capital is still being retained overwhelmingly for growth rather than returned to shareholders, consistent with its life-cycle stage.</w:t>
      </w:r>
    </w:p>
    <w:p>
      <w:pPr>
        <w:pStyle w:val="Heading2"/>
        <w:spacing w:after="150" w:before="300"/>
      </w:pPr>
      <w:r>
        <w:t xml:space="preserve">2.7 ESG</w:t>
      </w:r>
    </w:p>
    <w:p>
      <w:pPr>
        <w:spacing w:after="160" w:line="276"/>
      </w:pPr>
      <w:r>
        <w:rPr>
          <w:color w:val="222222"/>
          <w:sz w:val="21"/>
          <w:szCs w:val="21"/>
        </w:rPr>
        <w:t xml:space="preserve">As a solar manufacturer, Waaree sits within a sector with an inherently favorable ESG narrative on the environmental axis (renewable energy enablement), though the manufacturing process itself carries real considerations: energy and water intensity of module/cell production, supply-chain traceability given industry-wide scrutiny of polysilicon sourcing (a sector-wide concern following international attention on forced-labor risk in parts of the global polysilicon supply chain, independent of any Waaree-specific finding), and end-of-life panel recycling, an unresolved industry-wide question as the first wave of Indian utility-scale installations approaches mid-life. On governance, third-party rating agencies (MSCI ESG and similar) publish company-specific ESG scores; Part II will pull and cite Waaree's specific MSCI/Sustainalytics rating rather than a sector generalization, since this is a materially research-verifiable data point rather than an inference.</w:t>
      </w:r>
    </w:p>
    <w:p>
      <w:pPr>
        <w:pStyle w:val="Heading2"/>
        <w:spacing w:after="150" w:before="300"/>
      </w:pPr>
      <w:r>
        <w:t xml:space="preserve">2.8 Company SWOT</w:t>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4650"/>
        <w:gridCol w:w="4650"/>
      </w:tblGrid>
      <w:tr>
        <w:trPr>
          <w:tblHeader/>
        </w:trPr>
        <w:tc>
          <w:tcPr>
            <w:tcW w:type="dxa" w:w="4650"/>
            <w:shd w:fill="1F2A44" w:val="clear"/>
            <w:tcMar>
              <w:top w:type="dxa" w:w="60"/>
              <w:left w:type="dxa" w:w="100"/>
              <w:bottom w:type="dxa" w:w="60"/>
              <w:right w:type="dxa" w:w="100"/>
            </w:tcMar>
          </w:tcPr>
          <w:p>
            <w:pPr>
              <w:jc w:val="left"/>
            </w:pPr>
            <w:r>
              <w:rPr>
                <w:b/>
                <w:bCs/>
                <w:color w:val="FFFFFF"/>
                <w:sz w:val="19"/>
                <w:szCs w:val="19"/>
              </w:rPr>
              <w:t xml:space="preserve">Strengths</w:t>
            </w:r>
          </w:p>
        </w:tc>
        <w:tc>
          <w:tcPr>
            <w:tcW w:type="dxa" w:w="4650"/>
            <w:shd w:fill="1F2A44" w:val="clear"/>
            <w:tcMar>
              <w:top w:type="dxa" w:w="60"/>
              <w:left w:type="dxa" w:w="100"/>
              <w:bottom w:type="dxa" w:w="60"/>
              <w:right w:type="dxa" w:w="100"/>
            </w:tcMar>
          </w:tcPr>
          <w:p>
            <w:pPr>
              <w:jc w:val="center"/>
            </w:pPr>
            <w:r>
              <w:rPr>
                <w:b/>
                <w:bCs/>
                <w:color w:val="FFFFFF"/>
                <w:sz w:val="19"/>
                <w:szCs w:val="19"/>
              </w:rPr>
              <w:t xml:space="preserve">Weaknesses</w:t>
            </w:r>
          </w:p>
        </w:tc>
      </w:tr>
      <w:tr>
        <w:tc>
          <w:tcPr>
            <w:tcW w:type="dxa" w:w="4650"/>
            <w:shd w:fill="FFFFFF" w:val="clear"/>
            <w:tcMar>
              <w:top w:type="dxa" w:w="60"/>
              <w:left w:type="dxa" w:w="100"/>
              <w:bottom w:type="dxa" w:w="60"/>
              <w:right w:type="dxa" w:w="100"/>
            </w:tcMar>
          </w:tcPr>
          <w:p>
            <w:pPr>
              <w:jc w:val="left"/>
            </w:pPr>
            <w:r>
              <w:rPr>
                <w:b/>
                <w:bCs/>
                <w:color w:val="222222"/>
                <w:sz w:val="19"/>
                <w:szCs w:val="19"/>
              </w:rPr>
              <w:t xml:space="preserve">• Largest non-Chinese module manufacturer; #1 India capacity
• Broadest product range and dealer network in India
• Early-mover public listing = cheaper growth capital
• Emerging US manufacturing presence (trade-policy hedge)</w:t>
            </w:r>
          </w:p>
        </w:tc>
        <w:tc>
          <w:tcPr>
            <w:tcW w:type="dxa" w:w="4650"/>
            <w:shd w:fill="FFFFFF" w:val="clear"/>
            <w:tcMar>
              <w:top w:type="dxa" w:w="60"/>
              <w:left w:type="dxa" w:w="100"/>
              <w:bottom w:type="dxa" w:w="60"/>
              <w:right w:type="dxa" w:w="100"/>
            </w:tcMar>
          </w:tcPr>
          <w:p>
            <w:pPr>
              <w:jc w:val="center"/>
            </w:pPr>
            <w:r>
              <w:rPr>
                <w:b w:val="false"/>
                <w:bCs w:val="false"/>
                <w:color w:val="222222"/>
                <w:sz w:val="19"/>
                <w:szCs w:val="19"/>
              </w:rPr>
              <w:t xml:space="preserve">• Cell backward integration still nascent (2.3 GW vs 15 GW module capacity)
• Free cash flow negative in FY25 and FY26 despite profit growth
• Rising leverage (borrowings up ~6x FY24-FY26)
• Recent US customs scrutiny, even if resolved without adverse finding, is a reputational/monitoring item</w:t>
            </w:r>
          </w:p>
        </w:tc>
      </w:tr>
    </w:tbl>
    <w:p>
      <w:pPr>
        <w:spacing w:after="160" w:line="276"/>
      </w:pPr>
      <w:r>
        <w:rPr>
          <w:color w:val="222222"/>
          <w:sz w:val="21"/>
          <w:szCs w:val="21"/>
        </w:rPr>
        <w:t xml:space="preserve"/>
      </w:r>
    </w:p>
    <w:tbl>
      <w:tblPr>
        <w:tblW w:type="dxa" w:w="9300"/>
        <w:tblBorders>
          <w:top w:val="single" w:color="D9D9D9" w:sz="4"/>
          <w:left w:val="single" w:color="D9D9D9" w:sz="4"/>
          <w:bottom w:val="single" w:color="D9D9D9" w:sz="4"/>
          <w:right w:val="single" w:color="D9D9D9" w:sz="4"/>
          <w:insideH w:val="single" w:color="D9D9D9" w:sz="2"/>
          <w:insideV w:val="single" w:color="D9D9D9" w:sz="2"/>
        </w:tblBorders>
      </w:tblPr>
      <w:tblGrid>
        <w:gridCol w:w="4650"/>
        <w:gridCol w:w="4650"/>
      </w:tblGrid>
      <w:tr>
        <w:trPr>
          <w:tblHeader/>
        </w:trPr>
        <w:tc>
          <w:tcPr>
            <w:tcW w:type="dxa" w:w="4650"/>
            <w:shd w:fill="1F2A44" w:val="clear"/>
            <w:tcMar>
              <w:top w:type="dxa" w:w="60"/>
              <w:left w:type="dxa" w:w="100"/>
              <w:bottom w:type="dxa" w:w="60"/>
              <w:right w:type="dxa" w:w="100"/>
            </w:tcMar>
          </w:tcPr>
          <w:p>
            <w:pPr>
              <w:jc w:val="left"/>
            </w:pPr>
            <w:r>
              <w:rPr>
                <w:b/>
                <w:bCs/>
                <w:color w:val="FFFFFF"/>
                <w:sz w:val="19"/>
                <w:szCs w:val="19"/>
              </w:rPr>
              <w:t xml:space="preserve">Opportunities</w:t>
            </w:r>
          </w:p>
        </w:tc>
        <w:tc>
          <w:tcPr>
            <w:tcW w:type="dxa" w:w="4650"/>
            <w:shd w:fill="1F2A44" w:val="clear"/>
            <w:tcMar>
              <w:top w:type="dxa" w:w="60"/>
              <w:left w:type="dxa" w:w="100"/>
              <w:bottom w:type="dxa" w:w="60"/>
              <w:right w:type="dxa" w:w="100"/>
            </w:tcMar>
          </w:tcPr>
          <w:p>
            <w:pPr>
              <w:jc w:val="center"/>
            </w:pPr>
            <w:r>
              <w:rPr>
                <w:b/>
                <w:bCs/>
                <w:color w:val="FFFFFF"/>
                <w:sz w:val="19"/>
                <w:szCs w:val="19"/>
              </w:rPr>
              <w:t xml:space="preserve">Threats</w:t>
            </w:r>
          </w:p>
        </w:tc>
      </w:tr>
      <w:tr>
        <w:tc>
          <w:tcPr>
            <w:tcW w:type="dxa" w:w="4650"/>
            <w:shd w:fill="FFFFFF" w:val="clear"/>
            <w:tcMar>
              <w:top w:type="dxa" w:w="60"/>
              <w:left w:type="dxa" w:w="100"/>
              <w:bottom w:type="dxa" w:w="60"/>
              <w:right w:type="dxa" w:w="100"/>
            </w:tcMar>
          </w:tcPr>
          <w:p>
            <w:pPr>
              <w:jc w:val="left"/>
            </w:pPr>
            <w:r>
              <w:rPr>
                <w:b/>
                <w:bCs/>
                <w:color w:val="222222"/>
                <w:sz w:val="19"/>
                <w:szCs w:val="19"/>
              </w:rPr>
              <w:t xml:space="preserve">• Scale cell/wafer capacity ahead of June 2026 ALMM List-II deadline
• Deepen BESS / green hydrogen / transformer diversification (2025 acquisitions)
• Expand US manufacturing to capture "China+1" demand directly
• QIP-funded capex could extend capacity leadership further</w:t>
            </w:r>
          </w:p>
        </w:tc>
        <w:tc>
          <w:tcPr>
            <w:tcW w:type="dxa" w:w="4650"/>
            <w:shd w:fill="FFFFFF" w:val="clear"/>
            <w:tcMar>
              <w:top w:type="dxa" w:w="60"/>
              <w:left w:type="dxa" w:w="100"/>
              <w:bottom w:type="dxa" w:w="60"/>
              <w:right w:type="dxa" w:w="100"/>
            </w:tcMar>
          </w:tcPr>
          <w:p>
            <w:pPr>
              <w:jc w:val="center"/>
            </w:pPr>
            <w:r>
              <w:rPr>
                <w:b w:val="false"/>
                <w:bCs w:val="false"/>
                <w:color w:val="222222"/>
                <w:sz w:val="19"/>
                <w:szCs w:val="19"/>
              </w:rPr>
              <w:t xml:space="preserve">• Industry-wide module overcapacity could compress realizations
• Execution risk on an unusually broad, acquisition-heavy diversification agenda
• Working-capital strain if receivables/inventory cycles lengthen further (cash conversion cycle already widened to 90 days in FY26 from 35 in FY25)
• Trade-policy/tariff risk concentrated in the US export book</w:t>
            </w:r>
          </w:p>
        </w:tc>
      </w:tr>
    </w:tbl>
    <w:p>
      <w:pPr>
        <w:pStyle w:val="Heading2"/>
        <w:spacing w:after="150" w:before="300"/>
      </w:pPr>
      <w:r>
        <w:t xml:space="preserve">2.9 Growth Opportunities (Company-Specific)</w:t>
      </w:r>
    </w:p>
    <w:p>
      <w:pPr>
        <w:pStyle w:val="ListParagraph"/>
        <w:numPr>
          <w:ilvl w:val="0"/>
          <w:numId w:val="1"/>
        </w:numPr>
        <w:spacing w:after="90" w:line="276"/>
      </w:pPr>
      <w:r>
        <w:rPr>
          <w:color w:val="222222"/>
          <w:sz w:val="21"/>
          <w:szCs w:val="21"/>
        </w:rPr>
        <w:t xml:space="preserve">Cell/wafer/ingot backward integration to fully capture ALMM List-II-driven domestic cell pricing power rather than absorb it as a cost.</w:t>
      </w:r>
    </w:p>
    <w:p>
      <w:pPr>
        <w:pStyle w:val="ListParagraph"/>
        <w:numPr>
          <w:ilvl w:val="0"/>
          <w:numId w:val="1"/>
        </w:numPr>
        <w:spacing w:after="90" w:line="276"/>
      </w:pPr>
      <w:r>
        <w:rPr>
          <w:color w:val="222222"/>
          <w:sz w:val="21"/>
          <w:szCs w:val="21"/>
        </w:rPr>
        <w:t xml:space="preserve">BESS and green hydrogen electrolyzer businesses (Kotsons, Racemosa acquisitions) as new, less commoditized revenue lines adjacent to the core.</w:t>
      </w:r>
    </w:p>
    <w:p>
      <w:pPr>
        <w:pStyle w:val="ListParagraph"/>
        <w:numPr>
          <w:ilvl w:val="0"/>
          <w:numId w:val="1"/>
        </w:numPr>
        <w:spacing w:after="90" w:line="276"/>
      </w:pPr>
      <w:r>
        <w:rPr>
          <w:color w:val="222222"/>
          <w:sz w:val="21"/>
          <w:szCs w:val="21"/>
        </w:rPr>
        <w:t xml:space="preserve">Export market diversification beyond the US into EU, Middle East, and Southeast Asia to reduce single-market trade-policy concentration.</w:t>
      </w:r>
    </w:p>
    <w:p>
      <w:pPr>
        <w:pStyle w:val="ListParagraph"/>
        <w:numPr>
          <w:ilvl w:val="0"/>
          <w:numId w:val="1"/>
        </w:numPr>
        <w:spacing w:after="90" w:line="276"/>
      </w:pPr>
      <w:r>
        <w:rPr>
          <w:color w:val="222222"/>
          <w:sz w:val="21"/>
          <w:szCs w:val="21"/>
        </w:rPr>
        <w:t xml:space="preserve">Continued IPP asset build-out, converting module manufacturing scale into a higher-margin, annuity-like generation revenue stream.</w:t>
      </w:r>
    </w:p>
    <w:p>
      <w:pPr>
        <w:spacing w:after="400" w:before="200"/>
      </w:pPr>
      <w:r>
        <w:rPr>
          <w:i/>
          <w:iCs/>
          <w:color w:val="777777"/>
          <w:sz w:val="15"/>
          <w:szCs w:val="15"/>
        </w:rPr>
        <w:t xml:space="preserve">Sources: Screener.in (company filings aggregation); Waaree Energies BSE/NSE corporate filings and concall transcripts (FY25-FY26); Saurenergy; Investeepedia; Groww; myrsolar.com and Heaven Green Energy competitor comparisons; Equitymaster peer analysis.</w:t>
      </w:r>
    </w:p>
    <w:p>
      <w:r>
        <w:br w:type="page"/>
      </w:r>
    </w:p>
    <w:p>
      <w:pPr>
        <w:pStyle w:val="Heading1"/>
        <w:spacing w:after="200" w:before="400"/>
      </w:pPr>
      <w:r>
        <w:t xml:space="preserve">3. Financial Statement Analysis (FY20–FY26, Consolidated, ₹ Crore)</w:t>
      </w:r>
    </w:p>
    <w:p>
      <w:pPr>
        <w:spacing w:after="160" w:line="276"/>
      </w:pPr>
      <w:r>
        <w:rPr>
          <w:color w:val="222222"/>
          <w:sz w:val="21"/>
          <w:szCs w:val="21"/>
        </w:rPr>
        <w:t xml:space="preserve">Waaree Energies listed in October 2024; FY20-FY24 figures are drawn from pre-IPO regulatory filings (RHP/annual reports) as aggregated by Screener.in, and FY25-FY26 are post-listing audited results. All figures are consolidated. Horizontal analysis (YoY growth) and vertical/common-size analysis (as % of sales) are presented alongside each statement.</w:t>
      </w:r>
    </w:p>
    <w:p>
      <w:pPr>
        <w:pStyle w:val="Heading2"/>
        <w:spacing w:after="150" w:before="300"/>
      </w:pPr>
      <w:r>
        <w:t xml:space="preserve">3.1 Income Statement</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Particulars (₹ Cr)</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Net Sales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1,996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1,953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2,854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6,751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11,398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14,444</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26,537</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Total Expenses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1,903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1,868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2,748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5,915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9,823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11,723</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20,628</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Operating Profit (EBITDA)</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106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836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1,574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2,722</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5,909</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OPM %</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19.0%</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22.0%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Other Income</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576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398</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413</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Interest</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82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152</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280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Depreciation</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164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277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402</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990</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Profit Before Tax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70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677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1,734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2,565</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5,052</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Tax Rate %</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31.0%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31.0%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33.0%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26.0%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27.0%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25.0%</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23.0%</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Net Profit</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39</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80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500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1,274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1,928</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3,884</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EPS (₹)</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2.12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2.50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3.84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24.49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62.76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65.00</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129.02</w:t>
            </w:r>
          </w:p>
        </w:tc>
      </w:tr>
    </w:tbl>
    <w:p>
      <w:pPr>
        <w:spacing w:after="160" w:line="276"/>
      </w:pPr>
      <w:r>
        <w:rPr>
          <w:color w:val="222222"/>
          <w:sz w:val="21"/>
          <w:szCs w:val="21"/>
        </w:rPr>
        <w:t xml:space="preserve"/>
      </w:r>
    </w:p>
    <w:p>
      <w:pPr>
        <w:pStyle w:val="Heading3"/>
        <w:spacing w:after="100" w:before="200"/>
      </w:pPr>
      <w:r>
        <w:t xml:space="preserve">Horizontal Analysis — YoY Growth</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Growth Metric</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Sales Growth YoY</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46.1%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136.5%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68.8%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26.7%</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83.7%</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Net Profit Growth YoY</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23.1%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66.7%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525.0%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154.8%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51.3%</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101.5%</w:t>
            </w:r>
          </w:p>
        </w:tc>
      </w:tr>
    </w:tbl>
    <w:p>
      <w:pPr>
        <w:spacing w:after="160" w:line="276"/>
      </w:pPr>
      <w:r>
        <w:rPr>
          <w:color w:val="222222"/>
          <w:sz w:val="21"/>
          <w:szCs w:val="21"/>
        </w:rPr>
        <w:t xml:space="preserve">Sales compounded at a 5-year CAGR of ~69% and a 3-year CAGR of ~58%, but the trailing-twelve-month growth rate of 84% (FY26) is running well above even the 5-year trend — a sign of a genuine step-change (capacity coming online, module ASPs, and cell production ramping simultaneously) rather than simple linear extrapolation. Net profit CAGR (143% over 5 years, 100% over 3 years) has consistently outpaced sales growth, driven primarily by operating leverage: OPM expanded from 5% (FY20) to 22% (FY26) as fixed manufacturing costs were absorbed across a much larger revenue base.</w:t>
      </w:r>
    </w:p>
    <w:p>
      <w:pPr>
        <w:pStyle w:val="Heading3"/>
        <w:spacing w:after="100" w:before="200"/>
      </w:pPr>
      <w:r>
        <w:t xml:space="preserve">Vertical (Common-Size) Analysis — % of Sales</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 of Sales</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Total Expenses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95.3%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95.6%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96.3%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87.6%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86.2%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81.2%</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77.7%</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Operating Profit (EBITDA)</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19.0%</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22.0%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Other Income</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1.6%</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Interest</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1.1%</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Depreciation</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3.7%</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Profit Before Tax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2.9%</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10.0%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15.2%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17.8%</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19.0%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Net Profit Margin</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7.4%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11.2%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13.3%</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14.6%</w:t>
            </w:r>
          </w:p>
        </w:tc>
      </w:tr>
    </w:tbl>
    <w:p>
      <w:pPr>
        <w:spacing w:after="160" w:line="276"/>
      </w:pPr>
      <w:r>
        <w:rPr>
          <w:color w:val="222222"/>
          <w:sz w:val="21"/>
          <w:szCs w:val="21"/>
        </w:rPr>
        <w:t xml:space="preserve">Net margin expanded from 2.0% (FY20) to 14.6% (FY26), a 12.6 percentage-point improvement over seven years. Notably, other income spiked to 5.1% of sales in FY24 (₹576 Cr, likely IPO-related treasury income or one-off items) before normalizing to 1.5-2.8% in FY25-FY26 — analysts building the Part II model should treat FY24's other income as non-recurring when normalizing EBITDA/PBT for forecasting purposes.</w:t>
      </w:r>
    </w:p>
    <w:p>
      <w:pPr>
        <w:pStyle w:val="Heading2"/>
        <w:spacing w:after="150" w:before="300"/>
      </w:pPr>
      <w:r>
        <w:t xml:space="preserve">3.2 Balance Sheet</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Particulars (₹ Cr)</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Equity Share Capital</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243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263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287</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288</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Reserves &amp; Surplus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101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231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1,595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3,825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9,192</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14,150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Total Borrowings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340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363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320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553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1,199</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3,213</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Other Liabilities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483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596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1,362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5,247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6,635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9,028</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12,465</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Total Liabilities / Assets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938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1,281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2,154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7,406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11,277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19,706</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30,115</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Net Fixed Assets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152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285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625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1,105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1,450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4,051</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7,329</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Capital WIP</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537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1,341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1,884</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3,476</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Investments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85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71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65</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953</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Other Assets (incl. Working Capital)</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661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878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1,262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5,732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8,414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13,706</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18,358</w:t>
            </w:r>
          </w:p>
        </w:tc>
      </w:tr>
    </w:tbl>
    <w:p>
      <w:pPr>
        <w:spacing w:after="160" w:line="276"/>
      </w:pPr>
      <w:r>
        <w:rPr>
          <w:color w:val="222222"/>
          <w:sz w:val="21"/>
          <w:szCs w:val="21"/>
        </w:rPr>
        <w:t xml:space="preserve"/>
      </w:r>
    </w:p>
    <w:p>
      <w:pPr>
        <w:pStyle w:val="Heading3"/>
        <w:spacing w:after="100" w:before="200"/>
      </w:pPr>
      <w:r>
        <w:t xml:space="preserve">Balance Sheet — Common-Size (% of Total Assets)</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 of Total Assets</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Total Equity</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31.8%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26.9%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24.8%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36.3%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48.1%</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47.9%</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Borrowings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16.7%</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26.5%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16.9%</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4.9%</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6.1%</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10.7%</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Net Fixed Assets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16.2%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22.2%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29.0%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20.6%</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24.3%</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Capital WIP</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0.2%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7.3%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11.9%</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9.6%</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11.5%</w:t>
            </w:r>
          </w:p>
        </w:tc>
      </w:tr>
    </w:tbl>
    <w:p>
      <w:pPr>
        <w:spacing w:after="160" w:line="276"/>
      </w:pPr>
      <w:r>
        <w:rPr>
          <w:color w:val="222222"/>
          <w:sz w:val="21"/>
          <w:szCs w:val="21"/>
        </w:rPr>
        <w:t xml:space="preserve">The balance sheet has grown 32x in seven years (₹938 Cr to ₹30,115 Cr total assets), funded roughly two-thirds by equity (IPO proceeds plus retained earnings pushed reserves from ₹101 Cr to ₹14,150 Cr) and increasingly by debt — borrowings grew from ₹553 Cr (FY24) to ₹3,213 Cr (FY26), a near-6x increase in two years, coinciding with the capex-heavy cell backward-integration and acquisition program described in Section 2.6. Capital WIP nearly doubled in FY26 alone (₹1,884 Cr to ₹3,476 Cr), consistent with capacity under construction that has not yet been capitalized or begun generating revenue — a standard leading indicator worth tracking quarter to quarter in Part II.</w:t>
      </w:r>
    </w:p>
    <w:p>
      <w:pPr>
        <w:pStyle w:val="Heading2"/>
        <w:spacing w:after="150" w:before="300"/>
      </w:pPr>
      <w:r>
        <w:t xml:space="preserve">3.3 Cash Flow Statement</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Particulars (₹ Cr)</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Cash from Operating Activities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698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1,560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2,305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3,158</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1,627</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Cash from Investing Activities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(250)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(673)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(2,088)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(3,346)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(6,806)</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(3,953)</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Cash from Financing Activities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161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101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642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909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4,036</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2,573</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Net Cash Flow</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(21)</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126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(132)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388</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247</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Free Cash Flow (CFO - Capex proxy)</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(35)</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202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698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968</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(114)</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(3,209)</w:t>
            </w:r>
          </w:p>
        </w:tc>
      </w:tr>
    </w:tbl>
    <w:tbl>
      <w:tblPr>
        <w:tblW w:type="dxa" w:w="9350"/>
        <w:tblBorders>
          <w:top w:val="single" w:color="B08D57" w:sz="4"/>
          <w:left w:val="single" w:color="B08D57" w:sz="4"/>
          <w:bottom w:val="single" w:color="B08D57" w:sz="4"/>
          <w:right w:val="single" w:color="B08D57" w:sz="4"/>
          <w:insideH w:val="none"/>
          <w:insideV w:val="none"/>
        </w:tblBorders>
      </w:tblPr>
      <w:tblGrid>
        <w:gridCol w:w="9350"/>
      </w:tblGrid>
      <w:tr>
        <w:tc>
          <w:tcPr>
            <w:tcW w:type="dxa" w:w="9350"/>
            <w:shd w:fill="F5F0E6" w:val="clear"/>
            <w:tcMar>
              <w:top w:type="dxa" w:w="150"/>
              <w:left w:type="dxa" w:w="200"/>
              <w:bottom w:type="dxa" w:w="150"/>
              <w:right w:type="dxa" w:w="200"/>
            </w:tcMar>
          </w:tcPr>
          <w:p>
            <w:pPr>
              <w:spacing w:after="80"/>
            </w:pPr>
            <w:r>
              <w:rPr>
                <w:b/>
                <w:bCs/>
                <w:color w:val="1F2A44"/>
                <w:sz w:val="21"/>
                <w:szCs w:val="21"/>
              </w:rPr>
              <w:t xml:space="preserve">Key Analytical Flag: Cash Conversion Is Deteriorating Even as Profit Grows</w:t>
            </w:r>
          </w:p>
          <w:p>
            <w:pPr>
              <w:spacing w:after="40"/>
            </w:pPr>
            <w:r>
              <w:rPr>
                <w:color w:val="B08D57"/>
                <w:sz w:val="20"/>
                <w:szCs w:val="20"/>
              </w:rPr>
              <w:t xml:space="preserve">▪ </w:t>
            </w:r>
            <w:r>
              <w:rPr>
                <w:color w:val="222222"/>
                <w:sz w:val="20"/>
                <w:szCs w:val="20"/>
              </w:rPr>
              <w:t xml:space="preserve">Free cash flow turned negative in FY25 (₹-114 Cr) and materially negative in FY26 (₹-3,209 Cr) despite net profit of ₹1,928 Cr and ₹3,884 Cr respectively in those same years.</w:t>
            </w:r>
          </w:p>
          <w:p>
            <w:pPr>
              <w:spacing w:after="40"/>
            </w:pPr>
            <w:r>
              <w:rPr>
                <w:color w:val="B08D57"/>
                <w:sz w:val="20"/>
                <w:szCs w:val="20"/>
              </w:rPr>
              <w:t xml:space="preserve">▪ </w:t>
            </w:r>
            <w:r>
              <w:rPr>
                <w:color w:val="222222"/>
                <w:sz w:val="20"/>
                <w:szCs w:val="20"/>
              </w:rPr>
              <w:t xml:space="preserve">CFO/Operating Profit ratio — a cash-quality-of-earnings metric — fell from 168% (FY24) and 143% (FY25) to just 47% (FY26), meaning barely half of FY26's reported operating profit converted to operating cash.</w:t>
            </w:r>
          </w:p>
          <w:p>
            <w:pPr>
              <w:spacing w:after="40"/>
            </w:pPr>
            <w:r>
              <w:rPr>
                <w:color w:val="B08D57"/>
                <w:sz w:val="20"/>
                <w:szCs w:val="20"/>
              </w:rPr>
              <w:t xml:space="preserve">▪ </w:t>
            </w:r>
            <w:r>
              <w:rPr>
                <w:color w:val="222222"/>
                <w:sz w:val="20"/>
                <w:szCs w:val="20"/>
              </w:rPr>
              <w:t xml:space="preserve">This is being driven by the capex cycle (investing outflow of ₹3,953 Cr in FY26) and, per the ratio analysis below, a lengthening cash conversion cycle (35 days FY25 → 90 days FY26) as inventory and receivables build ahead of the ALMM List-II transition.</w:t>
            </w:r>
          </w:p>
          <w:p>
            <w:pPr>
              <w:spacing w:after="40"/>
            </w:pPr>
            <w:r>
              <w:rPr>
                <w:color w:val="B08D57"/>
                <w:sz w:val="20"/>
                <w:szCs w:val="20"/>
              </w:rPr>
              <w:t xml:space="preserve">▪ </w:t>
            </w:r>
            <w:r>
              <w:rPr>
                <w:color w:val="222222"/>
                <w:sz w:val="20"/>
                <w:szCs w:val="20"/>
              </w:rPr>
              <w:t xml:space="preserve">This is not necessarily a red flag in isolation for a company in an aggressive, policy-driven capacity build-out phase — but it is the single most important item for Part II's DCF free-cash-flow forecasting and working-capital assumptions, and it directly informs the 'quality of earnings' discussion any interviewer will probe.</w:t>
            </w:r>
          </w:p>
        </w:tc>
      </w:tr>
    </w:tbl>
    <w:p>
      <w:pPr>
        <w:spacing w:after="400" w:before="200"/>
      </w:pPr>
      <w:r>
        <w:rPr>
          <w:i/>
          <w:iCs/>
          <w:color w:val="777777"/>
          <w:sz w:val="15"/>
          <w:szCs w:val="15"/>
        </w:rPr>
        <w:t xml:space="preserve">Source: Screener.in consolidated financials (Mittal Analytics / C-MOTS Internet Technologies aggregation of company filings), cross-checked against FY26 results coverage (Saurenergy, Investeepedia).</w:t>
      </w:r>
    </w:p>
    <w:p>
      <w:r>
        <w:br w:type="page"/>
      </w:r>
    </w:p>
    <w:p>
      <w:pPr>
        <w:pStyle w:val="Heading1"/>
        <w:spacing w:after="200" w:before="400"/>
      </w:pPr>
      <w:r>
        <w:t xml:space="preserve">4. Ratio Analysis</w:t>
      </w:r>
    </w:p>
    <w:p>
      <w:pPr>
        <w:spacing w:after="160" w:line="276"/>
      </w:pPr>
      <w:r>
        <w:rPr>
          <w:color w:val="222222"/>
          <w:sz w:val="21"/>
          <w:szCs w:val="21"/>
        </w:rPr>
        <w:t xml:space="preserve">Ratios below are calculated from the consolidated statements in Section 3. Where a ratio requires balance-sheet averages (e.g., ROE), FY20 is excluded for lack of a prior-year opening balance.</w:t>
      </w:r>
    </w:p>
    <w:p>
      <w:pPr>
        <w:pStyle w:val="Heading2"/>
        <w:spacing w:after="150" w:before="300"/>
      </w:pPr>
      <w:r>
        <w:t xml:space="preserve">4.1 Profitability Ratios</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Metric</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Operating Margin (EBITDA %)</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5.0%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19.0%</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22.0%</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Net Profit Margin %</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7.4%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11.2%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13.3%</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14.6%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Return on Equity %</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20.7%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44.1%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43.0%</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28.4%</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32.5%</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Return on Capital Employed % (co. reported)</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16.0%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21.0%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52.0%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44.0%</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35.0%</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38.8%</w:t>
            </w:r>
          </w:p>
        </w:tc>
      </w:tr>
    </w:tbl>
    <w:p>
      <w:pPr>
        <w:spacing w:after="160" w:line="276"/>
      </w:pPr>
      <w:r>
        <w:rPr>
          <w:color w:val="222222"/>
          <w:sz w:val="21"/>
          <w:szCs w:val="21"/>
        </w:rPr>
        <w:t xml:space="preserve">Commentary: ROCE peaked at an extraordinary 52% in FY23 — a base-effect artifact of the balance sheet still being small relative to the sudden profit inflection that year — and has since normalized to a still-excellent 35-39% range, which comfortably clears Waaree's apparent cost of capital and indicates genuine value-accretive capacity expansion rather than value-destructive growth-for-growth's-sake. ROE at ~33% in the latest year is strong on an absolute basis but should be read alongside rapidly rising equity capital (IPO plus QIP) — a large capital base makes maintaining a 30%+ ROE progressively harder, and this is exactly the assumption that needs the most scrutiny in Part II's DCF terminal-value work.</w:t>
      </w:r>
    </w:p>
    <w:p>
      <w:pPr>
        <w:pStyle w:val="Heading2"/>
        <w:spacing w:after="150" w:before="300"/>
      </w:pPr>
      <w:r>
        <w:t xml:space="preserve">4.2 Leverage &amp; Coverage Ratios</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Metric</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Debt / Equity (x)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0.53x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0.99x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0.85x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0.17x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0.14x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0.13x</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0.22x</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Interest Coverage (EBIT/Interest, 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2.7x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3.3x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3.9x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9.3x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13.4x</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17.9x</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19.0x</w:t>
            </w:r>
          </w:p>
        </w:tc>
      </w:tr>
    </w:tbl>
    <w:p>
      <w:pPr>
        <w:spacing w:after="160" w:line="276"/>
      </w:pPr>
      <w:r>
        <w:rPr>
          <w:color w:val="222222"/>
          <w:sz w:val="21"/>
          <w:szCs w:val="21"/>
        </w:rPr>
        <w:t xml:space="preserve">Commentary: Leverage remains conservative in absolute terms (Debt/Equity of 0.22x in FY26) but the trend matters more than the level — D/E roughly doubled from 0.13x (FY24) to 0.22x (FY26) as the company funded its cell-integration capex partly with debt rather than equity alone. Interest coverage remains extremely comfortable at ~19x, meaning debt-servicing capacity is not currently a constraint, but the ₹10,000 Cr QIP approved in 2026 suggests management itself sees a need to rebalance the FY26 debt increase back toward equity funding for the next leg of capex.</w:t>
      </w:r>
    </w:p>
    <w:p>
      <w:pPr>
        <w:pStyle w:val="Heading2"/>
        <w:spacing w:after="150" w:before="300"/>
      </w:pPr>
      <w:r>
        <w:t xml:space="preserve">4.3 Efficiency / Working Capital Ratios</w:t>
      </w:r>
    </w:p>
    <w:tbl>
      <w:tblPr>
        <w:tblW w:type="dxa" w:w="9350"/>
        <w:tblBorders>
          <w:top w:val="single" w:color="D9D9D9" w:sz="4"/>
          <w:left w:val="single" w:color="D9D9D9" w:sz="4"/>
          <w:bottom w:val="single" w:color="D9D9D9" w:sz="4"/>
          <w:right w:val="single" w:color="D9D9D9" w:sz="4"/>
          <w:insideH w:val="single" w:color="D9D9D9" w:sz="2"/>
          <w:insideV w:val="single" w:color="D9D9D9" w:sz="2"/>
        </w:tblBorders>
      </w:tblPr>
      <w:tblGrid>
        <w:gridCol w:w="2400"/>
        <w:gridCol w:w="990"/>
        <w:gridCol w:w="990"/>
        <w:gridCol w:w="990"/>
        <w:gridCol w:w="990"/>
        <w:gridCol w:w="990"/>
        <w:gridCol w:w="990"/>
        <w:gridCol w:w="1010"/>
      </w:tblGrid>
      <w:tr>
        <w:trPr>
          <w:tblHeader/>
        </w:trPr>
        <w:tc>
          <w:tcPr>
            <w:tcW w:type="dxa" w:w="2400"/>
            <w:shd w:fill="1F2A44" w:val="clear"/>
            <w:tcMar>
              <w:top w:type="dxa" w:w="60"/>
              <w:left w:type="dxa" w:w="100"/>
              <w:bottom w:type="dxa" w:w="60"/>
              <w:right w:type="dxa" w:w="100"/>
            </w:tcMar>
          </w:tcPr>
          <w:p>
            <w:pPr>
              <w:jc w:val="left"/>
            </w:pPr>
            <w:r>
              <w:rPr>
                <w:b/>
                <w:bCs/>
                <w:color w:val="FFFFFF"/>
                <w:sz w:val="19"/>
                <w:szCs w:val="19"/>
              </w:rPr>
              <w:t xml:space="preserve">Metric</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FY20</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FY21</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FY22</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FY23</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FY24</w:t>
            </w:r>
          </w:p>
        </w:tc>
        <w:tc>
          <w:tcPr>
            <w:tcW w:type="dxa" w:w="990"/>
            <w:shd w:fill="1F2A44" w:val="clear"/>
            <w:tcMar>
              <w:top w:type="dxa" w:w="60"/>
              <w:left w:type="dxa" w:w="100"/>
              <w:bottom w:type="dxa" w:w="60"/>
              <w:right w:type="dxa" w:w="100"/>
            </w:tcMar>
          </w:tcPr>
          <w:p>
            <w:pPr>
              <w:jc w:val="center"/>
            </w:pPr>
            <w:r>
              <w:rPr>
                <w:b/>
                <w:bCs/>
                <w:color w:val="FFFFFF"/>
                <w:sz w:val="19"/>
                <w:szCs w:val="19"/>
              </w:rPr>
              <w:t xml:space="preserve">FY25</w:t>
            </w:r>
          </w:p>
        </w:tc>
        <w:tc>
          <w:tcPr>
            <w:tcW w:type="dxa" w:w="1010"/>
            <w:shd w:fill="1F2A44" w:val="clear"/>
            <w:tcMar>
              <w:top w:type="dxa" w:w="60"/>
              <w:left w:type="dxa" w:w="100"/>
              <w:bottom w:type="dxa" w:w="60"/>
              <w:right w:type="dxa" w:w="100"/>
            </w:tcMar>
          </w:tcPr>
          <w:p>
            <w:pPr>
              <w:jc w:val="center"/>
            </w:pPr>
            <w:r>
              <w:rPr>
                <w:b/>
                <w:bCs/>
                <w:color w:val="FFFFFF"/>
                <w:sz w:val="19"/>
                <w:szCs w:val="19"/>
              </w:rPr>
              <w:t xml:space="preserve">FY26</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Debtor Days</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26</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12</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31</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30</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34</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Inventory Days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83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85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192</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108</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96</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118</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Days Payable</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67</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99</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143</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84</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91</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63</w:t>
            </w:r>
          </w:p>
        </w:tc>
      </w:tr>
      <w:tr>
        <w:tc>
          <w:tcPr>
            <w:tcW w:type="dxa" w:w="2400"/>
            <w:shd w:fill="F2F2F2" w:val="clear"/>
            <w:tcMar>
              <w:top w:type="dxa" w:w="60"/>
              <w:left w:type="dxa" w:w="100"/>
              <w:bottom w:type="dxa" w:w="60"/>
              <w:right w:type="dxa" w:w="100"/>
            </w:tcMar>
          </w:tcPr>
          <w:p>
            <w:pPr>
              <w:jc w:val="left"/>
            </w:pPr>
            <w:r>
              <w:rPr>
                <w:b/>
                <w:bCs/>
                <w:color w:val="222222"/>
                <w:sz w:val="19"/>
                <w:szCs w:val="19"/>
              </w:rPr>
              <w:t xml:space="preserve">Cash Conversion Cycle (days)</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13</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14</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66</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55</w:t>
            </w:r>
          </w:p>
        </w:tc>
        <w:tc>
          <w:tcPr>
            <w:tcW w:type="dxa" w:w="990"/>
            <w:shd w:fill="F2F2F2" w:val="clear"/>
            <w:tcMar>
              <w:top w:type="dxa" w:w="60"/>
              <w:left w:type="dxa" w:w="100"/>
              <w:bottom w:type="dxa" w:w="60"/>
              <w:right w:type="dxa" w:w="100"/>
            </w:tcMar>
          </w:tcPr>
          <w:p>
            <w:pPr>
              <w:jc w:val="center"/>
            </w:pPr>
            <w:r>
              <w:rPr>
                <w:b w:val="false"/>
                <w:bCs w:val="false"/>
                <w:color w:val="222222"/>
                <w:sz w:val="19"/>
                <w:szCs w:val="19"/>
              </w:rPr>
              <w:t xml:space="preserve">35</w:t>
            </w:r>
          </w:p>
        </w:tc>
        <w:tc>
          <w:tcPr>
            <w:tcW w:type="dxa" w:w="1010"/>
            <w:shd w:fill="F2F2F2" w:val="clear"/>
            <w:tcMar>
              <w:top w:type="dxa" w:w="60"/>
              <w:left w:type="dxa" w:w="100"/>
              <w:bottom w:type="dxa" w:w="60"/>
              <w:right w:type="dxa" w:w="100"/>
            </w:tcMar>
          </w:tcPr>
          <w:p>
            <w:pPr>
              <w:jc w:val="center"/>
            </w:pPr>
            <w:r>
              <w:rPr>
                <w:b w:val="false"/>
                <w:bCs w:val="false"/>
                <w:color w:val="222222"/>
                <w:sz w:val="19"/>
                <w:szCs w:val="19"/>
              </w:rPr>
              <w:t xml:space="preserve">90</w:t>
            </w:r>
          </w:p>
        </w:tc>
      </w:tr>
      <w:tr>
        <w:tc>
          <w:tcPr>
            <w:tcW w:type="dxa" w:w="2400"/>
            <w:shd w:fill="FFFFFF" w:val="clear"/>
            <w:tcMar>
              <w:top w:type="dxa" w:w="60"/>
              <w:left w:type="dxa" w:w="100"/>
              <w:bottom w:type="dxa" w:w="60"/>
              <w:right w:type="dxa" w:w="100"/>
            </w:tcMar>
          </w:tcPr>
          <w:p>
            <w:pPr>
              <w:jc w:val="left"/>
            </w:pPr>
            <w:r>
              <w:rPr>
                <w:b/>
                <w:bCs/>
                <w:color w:val="222222"/>
                <w:sz w:val="19"/>
                <w:szCs w:val="19"/>
              </w:rPr>
              <w:t xml:space="preserve">Asset Turnover (Sales/Total Assets, 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2.13x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1.52x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1.32x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0.91x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1.01x</w:t>
            </w:r>
          </w:p>
        </w:tc>
        <w:tc>
          <w:tcPr>
            <w:tcW w:type="dxa" w:w="990"/>
            <w:shd w:fill="FFFFFF" w:val="clear"/>
            <w:tcMar>
              <w:top w:type="dxa" w:w="60"/>
              <w:left w:type="dxa" w:w="100"/>
              <w:bottom w:type="dxa" w:w="60"/>
              <w:right w:type="dxa" w:w="100"/>
            </w:tcMar>
          </w:tcPr>
          <w:p>
            <w:pPr>
              <w:jc w:val="center"/>
            </w:pPr>
            <w:r>
              <w:rPr>
                <w:b w:val="false"/>
                <w:bCs w:val="false"/>
                <w:color w:val="222222"/>
                <w:sz w:val="19"/>
                <w:szCs w:val="19"/>
              </w:rPr>
              <w:t xml:space="preserve">0.73x</w:t>
            </w:r>
          </w:p>
        </w:tc>
        <w:tc>
          <w:tcPr>
            <w:tcW w:type="dxa" w:w="1010"/>
            <w:shd w:fill="FFFFFF" w:val="clear"/>
            <w:tcMar>
              <w:top w:type="dxa" w:w="60"/>
              <w:left w:type="dxa" w:w="100"/>
              <w:bottom w:type="dxa" w:w="60"/>
              <w:right w:type="dxa" w:w="100"/>
            </w:tcMar>
          </w:tcPr>
          <w:p>
            <w:pPr>
              <w:jc w:val="center"/>
            </w:pPr>
            <w:r>
              <w:rPr>
                <w:b w:val="false"/>
                <w:bCs w:val="false"/>
                <w:color w:val="222222"/>
                <w:sz w:val="19"/>
                <w:szCs w:val="19"/>
              </w:rPr>
              <w:t xml:space="preserve">0.88x</w:t>
            </w:r>
          </w:p>
        </w:tc>
      </w:tr>
    </w:tbl>
    <w:p>
      <w:pPr>
        <w:spacing w:after="160" w:line="276"/>
      </w:pPr>
      <w:r>
        <w:rPr>
          <w:color w:val="222222"/>
          <w:sz w:val="21"/>
          <w:szCs w:val="21"/>
        </w:rPr>
        <w:t xml:space="preserve">Commentary: This is the section that most directly qualifies the profitability story above. The cash conversion cycle jumped from 35 days (FY25) to 90 days (FY26) — inventory days rose from 96 to 118 (build-up ahead of ALMM List-II and to support the export ramp) while, more strikingly, days payable fell from 91 to 63, meaning Waaree is paying suppliers faster even as it is collecting from customers and holding inventory longer. That combination is the direct arithmetic cause of the FCF collapse noted in Section 3.3, and any credible analyst should treat this as the #1 watch-item for FY27 — either it reverses (good) or it structurally resets to a higher working-capital-intensity business model (requires a materially different DCF working-capital assumption than a naive extrapolation of FY20-FY24 history).</w:t>
      </w:r>
    </w:p>
    <w:p>
      <w:pPr>
        <w:pStyle w:val="Heading2"/>
        <w:spacing w:after="150" w:before="300"/>
      </w:pPr>
      <w:r>
        <w:t xml:space="preserve">4.4 Market Ratios</w:t>
      </w:r>
    </w:p>
    <w:p>
      <w:pPr>
        <w:spacing w:after="160" w:line="276"/>
      </w:pPr>
      <w:r>
        <w:rPr>
          <w:color w:val="222222"/>
          <w:sz w:val="21"/>
          <w:szCs w:val="21"/>
        </w:rPr>
        <w:t xml:space="preserve">As of late June/early July 2026: Stock P/E ~21.1x (per Screener) to ~29.5x (per Upstox, using a slightly different trailing-EPS window) — the dispersion itself is a useful reminder to Part II's valuation work to be explicit about which trailing period and standalone-vs-consolidated basis is used; Price/Book ~5.7x (CMP ₹2,886 / Book Value ₹502); Dividend Yield ~0.07-0.1% (token payout, consistent with the growth-stage capital allocation discussed in Section 2.6). Peer P/E context from Section 1.5 (Premier ~42x, Vikram Solar ~68-72x, Websol ~30x) suggests Waaree trades at a discount to the highest-growth peer (Vikram) but broadly in line with or above Websol, and below Premier's profitability-driven premium — a starting reference point for the relative valuation work in Part II, not a conclusion.</w:t>
      </w:r>
    </w:p>
    <w:p>
      <w:pPr>
        <w:pStyle w:val="Heading2"/>
        <w:spacing w:after="150" w:before="300"/>
      </w:pPr>
      <w:r>
        <w:t xml:space="preserve">4.5 Liquidity Ratios — Data Limitation Note</w:t>
      </w:r>
    </w:p>
    <w:p>
      <w:pPr>
        <w:spacing w:after="160" w:line="276"/>
      </w:pPr>
      <w:r>
        <w:rPr>
          <w:color w:val="222222"/>
          <w:sz w:val="21"/>
          <w:szCs w:val="21"/>
        </w:rPr>
        <w:t xml:space="preserve">Standard current and quick ratios require a full current-assets/current-liabilities split that is not cleanly disclosed in the summarized Screener balance sheet used for this section (its "Other Liabilities" and "Other Assets" line items blend current and non-current items). Part II will pull the detailed schedule directly from the FY26 annual report/XBRL filing to compute a properly specified current ratio, quick ratio, and cash ratio rather than approximate them here — flagging the gap explicitly is preferable to publishing an imprecise number, which is itself a standard institutional research discipline.</w:t>
      </w:r>
    </w:p>
    <w:p>
      <w:pPr>
        <w:spacing w:after="200" w:before="200"/>
      </w:pPr>
      <w:r>
        <w:rPr>
          <w:i/>
          <w:iCs/>
          <w:color w:val="777777"/>
          <w:sz w:val="15"/>
          <w:szCs w:val="15"/>
        </w:rPr>
        <w:t xml:space="preserve">Source: Ratios computed by the analyst from Section 3 data; ROCE and working-capital-day figures cross-checked against Screener.in's own computed ratio table.</w:t>
      </w:r>
    </w:p>
    <w:p>
      <w:r>
        <w:br w:type="page"/>
      </w:r>
    </w:p>
    <w:p>
      <w:pPr>
        <w:pStyle w:val="Heading1"/>
        <w:spacing w:after="200" w:before="400"/>
      </w:pPr>
      <w:r>
        <w:t xml:space="preserve">5. What Comes Next — Part II of This Research Package</w:t>
      </w:r>
    </w:p>
    <w:p>
      <w:pPr>
        <w:spacing w:after="160" w:line="276"/>
      </w:pPr>
      <w:r>
        <w:rPr>
          <w:color w:val="222222"/>
          <w:sz w:val="21"/>
          <w:szCs w:val="21"/>
        </w:rPr>
        <w:t xml:space="preserve">This Part I document establishes the industry and company context and the historical financial base. Part II, to follow, will build directly on the numbers in Section 3-4 and will contain:</w:t>
      </w:r>
    </w:p>
    <w:p>
      <w:pPr>
        <w:pStyle w:val="ListParagraph"/>
        <w:numPr>
          <w:ilvl w:val="0"/>
          <w:numId w:val="1"/>
        </w:numPr>
        <w:spacing w:after="90" w:line="276"/>
      </w:pPr>
      <w:r>
        <w:rPr>
          <w:color w:val="222222"/>
          <w:sz w:val="21"/>
          <w:szCs w:val="21"/>
        </w:rPr>
        <w:t xml:space="preserve">A full three-statement Excel model (historicals + FY27-FY31 forecast, working capital, debt, and depreciation schedules, scenario/sensitivity toggles)</w:t>
      </w:r>
    </w:p>
    <w:p>
      <w:pPr>
        <w:pStyle w:val="ListParagraph"/>
        <w:numPr>
          <w:ilvl w:val="0"/>
          <w:numId w:val="1"/>
        </w:numPr>
        <w:spacing w:after="90" w:line="276"/>
      </w:pPr>
      <w:r>
        <w:rPr>
          <w:color w:val="222222"/>
          <w:sz w:val="21"/>
          <w:szCs w:val="21"/>
        </w:rPr>
        <w:t xml:space="preserve">DCF valuation (WACC build-up, terminal value, sensitivity tables) and a relative valuation (comps) triangulated against the FY25 peer P/E and EV/EBITDA data referenced in Sections 1.5 and 4.4</w:t>
      </w:r>
    </w:p>
    <w:p>
      <w:pPr>
        <w:pStyle w:val="ListParagraph"/>
        <w:numPr>
          <w:ilvl w:val="0"/>
          <w:numId w:val="1"/>
        </w:numPr>
        <w:spacing w:after="90" w:line="276"/>
      </w:pPr>
      <w:r>
        <w:rPr>
          <w:color w:val="222222"/>
          <w:sz w:val="21"/>
          <w:szCs w:val="21"/>
        </w:rPr>
        <w:t xml:space="preserve">Python scripts for ratio automation, return/volatility/beta analysis, and a Monte Carlo valuation sensitivity</w:t>
      </w:r>
    </w:p>
    <w:p>
      <w:pPr>
        <w:pStyle w:val="ListParagraph"/>
        <w:numPr>
          <w:ilvl w:val="0"/>
          <w:numId w:val="1"/>
        </w:numPr>
        <w:spacing w:after="90" w:line="276"/>
      </w:pPr>
      <w:r>
        <w:rPr>
          <w:color w:val="222222"/>
          <w:sz w:val="21"/>
          <w:szCs w:val="21"/>
        </w:rPr>
        <w:t xml:space="preserve">A SQL database schema and query set covering the financials, ratios, and peer set built in this report</w:t>
      </w:r>
    </w:p>
    <w:p>
      <w:pPr>
        <w:pStyle w:val="ListParagraph"/>
        <w:numPr>
          <w:ilvl w:val="0"/>
          <w:numId w:val="1"/>
        </w:numPr>
        <w:spacing w:after="90" w:line="276"/>
      </w:pPr>
      <w:r>
        <w:rPr>
          <w:color w:val="222222"/>
          <w:sz w:val="21"/>
          <w:szCs w:val="21"/>
        </w:rPr>
        <w:t xml:space="preserve">A Power BI executive dashboard</w:t>
      </w:r>
    </w:p>
    <w:p>
      <w:pPr>
        <w:pStyle w:val="ListParagraph"/>
        <w:numPr>
          <w:ilvl w:val="0"/>
          <w:numId w:val="1"/>
        </w:numPr>
        <w:spacing w:after="90" w:line="276"/>
      </w:pPr>
      <w:r>
        <w:rPr>
          <w:color w:val="222222"/>
          <w:sz w:val="21"/>
          <w:szCs w:val="21"/>
        </w:rPr>
        <w:t xml:space="preserve">The formal written equity research report with an explicit investment thesis, target price, and recommendation</w:t>
      </w:r>
    </w:p>
    <w:p>
      <w:pPr>
        <w:pStyle w:val="ListParagraph"/>
        <w:numPr>
          <w:ilvl w:val="0"/>
          <w:numId w:val="1"/>
        </w:numPr>
        <w:spacing w:after="90" w:line="276"/>
      </w:pPr>
      <w:r>
        <w:rPr>
          <w:color w:val="222222"/>
          <w:sz w:val="21"/>
          <w:szCs w:val="21"/>
        </w:rPr>
        <w:t xml:space="preserve">The presentation deck and the GitHub repository structure</w:t>
      </w:r>
    </w:p>
    <w:p>
      <w:pPr>
        <w:spacing w:after="160" w:line="276"/>
      </w:pPr>
      <w:r>
        <w:rPr>
          <w:color w:val="222222"/>
          <w:sz w:val="21"/>
          <w:szCs w:val="21"/>
        </w:rPr>
        <w:t xml:space="preserve"/>
      </w:r>
    </w:p>
    <w:p>
      <w:pPr>
        <w:spacing w:after="160" w:line="276"/>
      </w:pPr>
      <w:r>
        <w:rPr>
          <w:color w:val="222222"/>
          <w:sz w:val="21"/>
          <w:szCs w:val="21"/>
        </w:rPr>
        <w:t xml:space="preserve">The single most important analytical thread to carry forward, flagged twice already in this document, is the FY26 divergence between reported profit growth (net profit +101% YoY) and cash generation (FCF of ₹-3,209 Cr, CFO/Operating-Profit down to 47%). Part II's DCF and working-capital forecast will need an explicit, justified view on whether this is temporary capex/ALMM-transition noise or a structural reset — that judgment call, defended with evidence, is exactly the kind of thing a Moody's, CRISIL, or buy-side interviewer will push 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5"/>
        <w:szCs w:val="15"/>
      </w:rPr>
      <w:t xml:space="preserve">Waaree Energies Limited — Institutional Equity Research, Part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B08D57" w:sz="8" w:space="4"/>
      </w:pBdr>
      <w:spacing w:after="200" w:before="400"/>
    </w:pPr>
    <w:rPr>
      <w:rFonts w:ascii="Calibri" w:cs="Calibri" w:eastAsia="Calibri" w:hAnsi="Calibri"/>
      <w:b/>
      <w:bCs/>
      <w:color w:val="1F2A44"/>
      <w:sz w:val="30"/>
      <w:szCs w:val="30"/>
    </w:rPr>
  </w:style>
  <w:style w:type="paragraph" w:styleId="Heading2">
    <w:name w:val="Heading 2"/>
    <w:basedOn w:val="Normal"/>
    <w:next w:val="Normal"/>
    <w:qFormat/>
    <w:pPr>
      <w:spacing w:after="150" w:before="300"/>
    </w:pPr>
    <w:rPr>
      <w:rFonts w:ascii="Calibri" w:cs="Calibri" w:eastAsia="Calibri" w:hAnsi="Calibri"/>
      <w:b/>
      <w:bCs/>
      <w:color w:val="1F2A44"/>
      <w:sz w:val="25"/>
      <w:szCs w:val="25"/>
    </w:rPr>
  </w:style>
  <w:style w:type="paragraph" w:styleId="Heading3">
    <w:name w:val="Heading 3"/>
    <w:basedOn w:val="Normal"/>
    <w:next w:val="Normal"/>
    <w:qFormat/>
    <w:pPr>
      <w:spacing w:after="100" w:before="200"/>
    </w:pPr>
    <w:rPr>
      <w:rFonts w:ascii="Calibri" w:cs="Calibri" w:eastAsia="Calibri" w:hAnsi="Calibri"/>
      <w:b/>
      <w:bCs/>
      <w:i/>
      <w:iCs/>
      <w:color w:val="B08D5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2026-07-13T01:42:14.579Z</dcterms:created>
  <dcterms:modified xsi:type="dcterms:W3CDTF">2026-07-13T01:42:14.581Z</dcterms:modified>
</cp:coreProperties>
</file>

<file path=docProps/custom.xml><?xml version="1.0" encoding="utf-8"?>
<Properties xmlns="http://schemas.openxmlformats.org/officeDocument/2006/custom-properties" xmlns:vt="http://schemas.openxmlformats.org/officeDocument/2006/docPropsVTypes"/>
</file>