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B08D57"/>
          <w:spacing w:val="20"/>
          <w:sz w:val="26"/>
          <w:szCs w:val="26"/>
        </w:rPr>
        <w:t xml:space="preserve">INSTITUTIONAL EQUITY RESEARCH</w:t>
      </w:r>
    </w:p>
    <w:p>
      <w:pPr>
        <w:spacing w:before="300"/>
        <w:jc w:val="center"/>
      </w:pPr>
      <w:r>
        <w:rPr>
          <w:b/>
          <w:bCs/>
          <w:color w:val="1F2A44"/>
          <w:sz w:val="56"/>
          <w:szCs w:val="56"/>
        </w:rPr>
        <w:t xml:space="preserve">Waaree Energies Limited</w:t>
      </w:r>
    </w:p>
    <w:p>
      <w:pPr>
        <w:spacing w:after="300" w:before="100"/>
        <w:jc w:val="center"/>
      </w:pPr>
      <w:r>
        <w:rPr>
          <w:color w:val="222222"/>
          <w:sz w:val="22"/>
          <w:szCs w:val="22"/>
        </w:rPr>
        <w:t xml:space="preserve">NSE: WAAREEENER  |  BSE: 544277  |  ISIN: INE377N01017</w:t>
      </w:r>
    </w:p>
    <w:p>
      <w:pPr>
        <w:spacing w:after="100" w:before="600"/>
        <w:jc w:val="center"/>
      </w:pPr>
      <w:r>
        <w:rPr>
          <w:b/>
          <w:bCs/>
          <w:color w:val="1F2A44"/>
          <w:sz w:val="22"/>
          <w:szCs w:val="22"/>
        </w:rPr>
        <w:t xml:space="preserve">PART II — DCF VALUATION &amp; RELATIVE VALUATION (COMPS)</w:t>
      </w:r>
    </w:p>
    <w:p>
      <w:pPr>
        <w:spacing w:before="800"/>
        <w:jc w:val="center"/>
      </w:pPr>
      <w:r>
        <w:rPr>
          <w:color w:val="222222"/>
          <w:sz w:val="20"/>
          <w:szCs w:val="20"/>
        </w:rPr>
        <w:t xml:space="preserve">Prepared: July 2026</w:t>
      </w:r>
    </w:p>
    <w:p>
      <w:pPr>
        <w:spacing w:before="1400"/>
        <w:jc w:val="center"/>
      </w:pPr>
      <w:r>
        <w:rPr>
          <w:i/>
          <w:iCs/>
          <w:color w:val="666666"/>
          <w:sz w:val="16"/>
          <w:szCs w:val="16"/>
        </w:rPr>
        <w:t xml:space="preserve">This report is prepared for educational / portfolio purposes as part of an independent equity research project. It is not investment advice. All figures in ₹ Crore unless stated. Builds directly on the historicals and ratio work in Part I.</w:t>
      </w:r>
    </w:p>
    <w:p>
      <w:pPr>
        <w:sectPr>
          <w:pgSz w:w="12240" w:h="15840" w:orient="portrait"/>
          <w:pgMar w:top="1080" w:right="1080" w:bottom="1080" w:left="1080" w:header="708" w:footer="708" w:gutter="0"/>
          <w:pgNumType/>
          <w:docGrid w:linePitch="360"/>
        </w:sectPr>
      </w:pPr>
    </w:p>
    <w:p>
      <w:pPr>
        <w:pStyle w:val="Heading1"/>
        <w:spacing w:after="200" w:before="400"/>
      </w:pPr>
      <w:r>
        <w:t xml:space="preserve">1. Valuation Summary</w:t>
      </w:r>
    </w:p>
    <w:tbl>
      <w:tblPr>
        <w:tblW w:type="dxa" w:w="9350"/>
        <w:tblBorders>
          <w:top w:val="single" w:color="5B4B8A" w:sz="4"/>
          <w:left w:val="single" w:color="5B4B8A" w:sz="4"/>
          <w:bottom w:val="single" w:color="5B4B8A" w:sz="4"/>
          <w:right w:val="single" w:color="5B4B8A" w:sz="4"/>
          <w:insideH w:val="none"/>
          <w:insideV w:val="none"/>
        </w:tblBorders>
      </w:tblPr>
      <w:tblGrid>
        <w:gridCol w:w="9350"/>
      </w:tblGrid>
      <w:tr>
        <w:tc>
          <w:tcPr>
            <w:tcW w:type="dxa" w:w="9350"/>
            <w:shd w:fill="EDE9F5" w:val="clear"/>
            <w:tcMar>
              <w:top w:type="dxa" w:w="150"/>
              <w:left w:type="dxa" w:w="200"/>
              <w:bottom w:type="dxa" w:w="150"/>
              <w:right w:type="dxa" w:w="200"/>
            </w:tcMar>
          </w:tcPr>
          <w:p>
            <w:pPr>
              <w:spacing w:after="80"/>
            </w:pPr>
            <w:r>
              <w:rPr>
                <w:b/>
                <w:bCs/>
                <w:color w:val="1F2A44"/>
                <w:sz w:val="21"/>
                <w:szCs w:val="21"/>
              </w:rPr>
              <w:t xml:space="preserve">Headline Output</w:t>
            </w:r>
          </w:p>
          <w:p>
            <w:pPr>
              <w:spacing w:after="40"/>
            </w:pPr>
            <w:r>
              <w:rPr>
                <w:color w:val="5B4B8A"/>
                <w:sz w:val="20"/>
                <w:szCs w:val="20"/>
              </w:rPr>
              <w:t xml:space="preserve">▪ </w:t>
            </w:r>
            <w:r>
              <w:rPr>
                <w:color w:val="222222"/>
                <w:sz w:val="20"/>
                <w:szCs w:val="20"/>
              </w:rPr>
              <w:t xml:space="preserve">DCF (base case, WACC 13.8%, terminal growth 5.0%): intrinsic value ≈ ₹2,146/share — roughly 26% below the ~₹2,886 CMP (late June 2026).</w:t>
            </w:r>
          </w:p>
          <w:p>
            <w:pPr>
              <w:spacing w:after="40"/>
            </w:pPr>
            <w:r>
              <w:rPr>
                <w:color w:val="5B4B8A"/>
                <w:sz w:val="20"/>
                <w:szCs w:val="20"/>
              </w:rPr>
              <w:t xml:space="preserve">▪ </w:t>
            </w:r>
            <w:r>
              <w:rPr>
                <w:color w:val="222222"/>
                <w:sz w:val="20"/>
                <w:szCs w:val="20"/>
              </w:rPr>
              <w:t xml:space="preserve">Relative valuation (peer EV/EBITDA and P/E multiples applied to Waaree's FY26 actuals): implied value ≈ ₹3,830-3,980/share — roughly 33-38% above CMP.</w:t>
            </w:r>
          </w:p>
          <w:p>
            <w:pPr>
              <w:spacing w:after="40"/>
            </w:pPr>
            <w:r>
              <w:rPr>
                <w:color w:val="5B4B8A"/>
                <w:sz w:val="20"/>
                <w:szCs w:val="20"/>
              </w:rPr>
              <w:t xml:space="preserve">▪ </w:t>
            </w:r>
            <w:r>
              <w:rPr>
                <w:color w:val="222222"/>
                <w:sz w:val="20"/>
                <w:szCs w:val="20"/>
              </w:rPr>
              <w:t xml:space="preserve">The two methods disagree by a wide margin — that disagreement, and why it exists, is the actual analytical output of this section, not a flaw to be averaged away.</w:t>
            </w:r>
          </w:p>
          <w:p>
            <w:pPr>
              <w:spacing w:after="40"/>
            </w:pPr>
            <w:r>
              <w:rPr>
                <w:color w:val="5B4B8A"/>
                <w:sz w:val="20"/>
                <w:szCs w:val="20"/>
              </w:rPr>
              <w:t xml:space="preserve">▪ </w:t>
            </w:r>
            <w:r>
              <w:rPr>
                <w:color w:val="222222"/>
                <w:sz w:val="20"/>
                <w:szCs w:val="20"/>
              </w:rPr>
              <w:t xml:space="preserve">This is presented as an educational valuation exercise with explicit, stated assumptions. It is not a price target or investment recommendation.</w:t>
            </w:r>
          </w:p>
        </w:tc>
      </w:tr>
    </w:tbl>
    <w:p>
      <w:pPr>
        <w:spacing w:after="160" w:line="276"/>
      </w:pPr>
      <w:r>
        <w:rPr>
          <w:color w:val="222222"/>
          <w:sz w:val="21"/>
          <w:szCs w:val="21"/>
        </w:rPr>
        <w:t xml:space="preserve"/>
      </w:r>
    </w:p>
    <w:p>
      <w:pPr>
        <w:spacing w:after="160" w:line="276"/>
      </w:pPr>
      <w:r>
        <w:rPr>
          <w:color w:val="222222"/>
          <w:sz w:val="21"/>
          <w:szCs w:val="21"/>
        </w:rPr>
        <w:t xml:space="preserve">Discounted cash flow and relative valuation are answering two different questions. The DCF asks what Waaree's own projected cash flows are worth given a required return — and it is deliberately conservative on two dimensions where Part I flagged real deterioration: working capital intensity (cash conversion cycle widened from 35 to 90 days in FY26) and the fade of an unsustainable 84% YoY growth rate toward a more normal double-digit pace. The comps approach asks what the market is currently willing to pay for a unit of Waaree's peers' EBITDA or earnings — and it implicitly assumes the market's current optimism about the ALMM List-II tailwind (Section 1.3, Part I) and peer growth trajectories is justified and transfers cleanly to Waaree. Both are legitimate lenses; an analyst's job is to hold them side by side and explain the gap, not silently pick whichever supports a pre-existing view.</w:t>
      </w:r>
    </w:p>
    <w:p>
      <w:r>
        <w:br w:type="page"/>
      </w:r>
    </w:p>
    <w:p>
      <w:pPr>
        <w:pStyle w:val="Heading1"/>
        <w:spacing w:after="200" w:before="400"/>
      </w:pPr>
      <w:r>
        <w:t xml:space="preserve">2. Discounted Cash Flow (DCF) Valuation</w:t>
      </w:r>
    </w:p>
    <w:p>
      <w:pPr>
        <w:pStyle w:val="Heading2"/>
        <w:spacing w:after="150" w:before="300"/>
      </w:pPr>
      <w:r>
        <w:t xml:space="preserve">2.1 WACC Build-Up</w:t>
      </w:r>
    </w:p>
    <w:p>
      <w:pPr>
        <w:spacing w:after="160" w:line="276"/>
      </w:pPr>
      <w:r>
        <w:rPr>
          <w:color w:val="222222"/>
          <w:sz w:val="21"/>
          <w:szCs w:val="21"/>
        </w:rPr>
        <w:t xml:space="preserve">Cost of equity is estimated via CAPM using an India-specific risk-free rate and equity risk premium, since Waaree's cash flows, cost structure, and regulatory exposure are almost entirely domestic (India-based manufacturing, India + export revenue booked in a rupee-functional entity).</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3300"/>
        <w:gridCol w:w="1900"/>
        <w:gridCol w:w="4100"/>
      </w:tblGrid>
      <w:tr>
        <w:trPr>
          <w:tblHeader/>
        </w:trPr>
        <w:tc>
          <w:tcPr>
            <w:tcW w:type="dxa" w:w="3300"/>
            <w:shd w:fill="1F2A44" w:val="clear"/>
            <w:tcMar>
              <w:top w:type="dxa" w:w="60"/>
              <w:left w:type="dxa" w:w="100"/>
              <w:bottom w:type="dxa" w:w="60"/>
              <w:right w:type="dxa" w:w="100"/>
            </w:tcMar>
          </w:tcPr>
          <w:p>
            <w:pPr>
              <w:jc w:val="left"/>
            </w:pPr>
            <w:r>
              <w:rPr>
                <w:b/>
                <w:bCs/>
                <w:color w:val="FFFFFF"/>
                <w:sz w:val="19"/>
                <w:szCs w:val="19"/>
              </w:rPr>
              <w:t xml:space="preserve">Component</w:t>
            </w:r>
          </w:p>
        </w:tc>
        <w:tc>
          <w:tcPr>
            <w:tcW w:type="dxa" w:w="1900"/>
            <w:shd w:fill="1F2A44" w:val="clear"/>
            <w:tcMar>
              <w:top w:type="dxa" w:w="60"/>
              <w:left w:type="dxa" w:w="100"/>
              <w:bottom w:type="dxa" w:w="60"/>
              <w:right w:type="dxa" w:w="100"/>
            </w:tcMar>
          </w:tcPr>
          <w:p>
            <w:pPr>
              <w:jc w:val="center"/>
            </w:pPr>
            <w:r>
              <w:rPr>
                <w:b/>
                <w:bCs/>
                <w:color w:val="FFFFFF"/>
                <w:sz w:val="19"/>
                <w:szCs w:val="19"/>
              </w:rPr>
              <w:t xml:space="preserve">Value</w:t>
            </w:r>
          </w:p>
        </w:tc>
        <w:tc>
          <w:tcPr>
            <w:tcW w:type="dxa" w:w="4100"/>
            <w:shd w:fill="1F2A44" w:val="clear"/>
            <w:tcMar>
              <w:top w:type="dxa" w:w="60"/>
              <w:left w:type="dxa" w:w="100"/>
              <w:bottom w:type="dxa" w:w="60"/>
              <w:right w:type="dxa" w:w="100"/>
            </w:tcMar>
          </w:tcPr>
          <w:p>
            <w:pPr>
              <w:jc w:val="center"/>
            </w:pPr>
            <w:r>
              <w:rPr>
                <w:b/>
                <w:bCs/>
                <w:color w:val="FFFFFF"/>
                <w:sz w:val="19"/>
                <w:szCs w:val="19"/>
              </w:rPr>
              <w:t xml:space="preserve">Basis / Source</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Risk-free rate (Rf)</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6.70%</w:t>
            </w:r>
          </w:p>
        </w:tc>
        <w:tc>
          <w:tcPr>
            <w:tcW w:type="dxa" w:w="4100"/>
            <w:shd w:fill="FFFFFF" w:val="clear"/>
            <w:tcMar>
              <w:top w:type="dxa" w:w="60"/>
              <w:left w:type="dxa" w:w="100"/>
              <w:bottom w:type="dxa" w:w="60"/>
              <w:right w:type="dxa" w:w="100"/>
            </w:tcMar>
          </w:tcPr>
          <w:p>
            <w:pPr>
              <w:jc w:val="center"/>
            </w:pPr>
            <w:r>
              <w:rPr>
                <w:b w:val="false"/>
                <w:bCs w:val="false"/>
                <w:color w:val="222222"/>
                <w:sz w:val="19"/>
                <w:szCs w:val="19"/>
              </w:rPr>
              <w:t xml:space="preserve">India 10-Year G-Sec yield, early-mid July 2026 (Trading Economics / MacroMicro)</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Equity beta (levered)</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1.05</w:t>
            </w:r>
          </w:p>
        </w:tc>
        <w:tc>
          <w:tcPr>
            <w:tcW w:type="dxa" w:w="4100"/>
            <w:shd w:fill="F2F2F2" w:val="clear"/>
            <w:tcMar>
              <w:top w:type="dxa" w:w="60"/>
              <w:left w:type="dxa" w:w="100"/>
              <w:bottom w:type="dxa" w:w="60"/>
              <w:right w:type="dxa" w:w="100"/>
            </w:tcMar>
          </w:tcPr>
          <w:p>
            <w:pPr>
              <w:jc w:val="center"/>
            </w:pPr>
            <w:r>
              <w:rPr>
                <w:b w:val="false"/>
                <w:bCs w:val="false"/>
                <w:color w:val="222222"/>
                <w:sz w:val="19"/>
                <w:szCs w:val="19"/>
              </w:rPr>
              <w:t xml:space="preserve">Waaree's observed equity beta (~1.02 per TradingView), rounded up slightly given young trading history (listed Oct 2024) and capex-driven earnings volatility</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Equity Risk Premium (India)</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7.00%</w:t>
            </w:r>
          </w:p>
        </w:tc>
        <w:tc>
          <w:tcPr>
            <w:tcW w:type="dxa" w:w="4100"/>
            <w:shd w:fill="FFFFFF" w:val="clear"/>
            <w:tcMar>
              <w:top w:type="dxa" w:w="60"/>
              <w:left w:type="dxa" w:w="100"/>
              <w:bottom w:type="dxa" w:w="60"/>
              <w:right w:type="dxa" w:w="100"/>
            </w:tcMar>
          </w:tcPr>
          <w:p>
            <w:pPr>
              <w:jc w:val="center"/>
            </w:pPr>
            <w:r>
              <w:rPr>
                <w:b w:val="false"/>
                <w:bCs w:val="false"/>
                <w:color w:val="222222"/>
                <w:sz w:val="19"/>
                <w:szCs w:val="19"/>
              </w:rPr>
              <w:t xml:space="preserve">Mature-market ERP (~4.5-5%) plus an India country risk premium (~2-2.5%), consistent with standard India ERP practice (Damodaran-style build-up)</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Cost of Equity (Ke = Rf + β×ERP)</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14.05%</w:t>
            </w:r>
          </w:p>
        </w:tc>
        <w:tc>
          <w:tcPr>
            <w:tcW w:type="dxa" w:w="4100"/>
            <w:shd w:fill="F2F2F2" w:val="clear"/>
            <w:tcMar>
              <w:top w:type="dxa" w:w="60"/>
              <w:left w:type="dxa" w:w="100"/>
              <w:bottom w:type="dxa" w:w="60"/>
              <w:right w:type="dxa" w:w="100"/>
            </w:tcMar>
          </w:tcPr>
          <w:p>
            <w:pPr>
              <w:jc w:val="center"/>
            </w:pPr>
            <w:r>
              <w:rPr>
                <w:b w:val="false"/>
                <w:bCs w:val="false"/>
                <w:color w:val="222222"/>
                <w:sz w:val="19"/>
                <w:szCs w:val="19"/>
              </w:rPr>
              <w:t xml:space="preserve">6.70% + 1.05 × 7.00%</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Pre-tax cost of debt (Kd)</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8.50%</w:t>
            </w:r>
          </w:p>
        </w:tc>
        <w:tc>
          <w:tcPr>
            <w:tcW w:type="dxa" w:w="4100"/>
            <w:shd w:fill="FFFFFF" w:val="clear"/>
            <w:tcMar>
              <w:top w:type="dxa" w:w="60"/>
              <w:left w:type="dxa" w:w="100"/>
              <w:bottom w:type="dxa" w:w="60"/>
              <w:right w:type="dxa" w:w="100"/>
            </w:tcMar>
          </w:tcPr>
          <w:p>
            <w:pPr>
              <w:jc w:val="center"/>
            </w:pPr>
            <w:r>
              <w:rPr>
                <w:b w:val="false"/>
                <w:bCs w:val="false"/>
                <w:color w:val="222222"/>
                <w:sz w:val="19"/>
                <w:szCs w:val="19"/>
              </w:rPr>
              <w:t xml:space="preserve">Assumed, consistent with a CARE/CRISIL investment-grade-rated Indian manufacturing credit; refine against Waaree's actual FY26 rating note in Part III</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Effective tax rate</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25.0%</w:t>
            </w:r>
          </w:p>
        </w:tc>
        <w:tc>
          <w:tcPr>
            <w:tcW w:type="dxa" w:w="4100"/>
            <w:shd w:fill="F2F2F2" w:val="clear"/>
            <w:tcMar>
              <w:top w:type="dxa" w:w="60"/>
              <w:left w:type="dxa" w:w="100"/>
              <w:bottom w:type="dxa" w:w="60"/>
              <w:right w:type="dxa" w:w="100"/>
            </w:tcMar>
          </w:tcPr>
          <w:p>
            <w:pPr>
              <w:jc w:val="center"/>
            </w:pPr>
            <w:r>
              <w:rPr>
                <w:b w:val="false"/>
                <w:bCs w:val="false"/>
                <w:color w:val="222222"/>
                <w:sz w:val="19"/>
                <w:szCs w:val="19"/>
              </w:rPr>
              <w:t xml:space="preserve">Approx. FY25-FY26 effective rate per Part I Section 3.1 (23-25%), rounded to standard concessional corporate rate</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Post-tax cost of debt</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6.38%</w:t>
            </w:r>
          </w:p>
        </w:tc>
        <w:tc>
          <w:tcPr>
            <w:tcW w:type="dxa" w:w="4100"/>
            <w:shd w:fill="FFFFFF" w:val="clear"/>
            <w:tcMar>
              <w:top w:type="dxa" w:w="60"/>
              <w:left w:type="dxa" w:w="100"/>
              <w:bottom w:type="dxa" w:w="60"/>
              <w:right w:type="dxa" w:w="100"/>
            </w:tcMar>
          </w:tcPr>
          <w:p>
            <w:pPr>
              <w:jc w:val="center"/>
            </w:pPr>
            <w:r>
              <w:rPr>
                <w:b w:val="false"/>
                <w:bCs w:val="false"/>
                <w:color w:val="222222"/>
                <w:sz w:val="19"/>
                <w:szCs w:val="19"/>
              </w:rPr>
              <w:t xml:space="preserve">8.50% × (1 - 25%)</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Weight of Equity (E/V)</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96.3%</w:t>
            </w:r>
          </w:p>
        </w:tc>
        <w:tc>
          <w:tcPr>
            <w:tcW w:type="dxa" w:w="4100"/>
            <w:shd w:fill="F2F2F2" w:val="clear"/>
            <w:tcMar>
              <w:top w:type="dxa" w:w="60"/>
              <w:left w:type="dxa" w:w="100"/>
              <w:bottom w:type="dxa" w:w="60"/>
              <w:right w:type="dxa" w:w="100"/>
            </w:tcMar>
          </w:tcPr>
          <w:p>
            <w:pPr>
              <w:jc w:val="center"/>
            </w:pPr>
            <w:r>
              <w:rPr>
                <w:b w:val="false"/>
                <w:bCs w:val="false"/>
                <w:color w:val="222222"/>
                <w:sz w:val="19"/>
                <w:szCs w:val="19"/>
              </w:rPr>
              <w:t xml:space="preserve">Market cap ₹83,000 Cr / (Market cap + Total debt ₹3,213 Cr) — market-value weights, not book</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Weight of Debt (D/V)</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3.7%</w:t>
            </w:r>
          </w:p>
        </w:tc>
        <w:tc>
          <w:tcPr>
            <w:tcW w:type="dxa" w:w="4100"/>
            <w:shd w:fill="FFFFFF" w:val="clear"/>
            <w:tcMar>
              <w:top w:type="dxa" w:w="60"/>
              <w:left w:type="dxa" w:w="100"/>
              <w:bottom w:type="dxa" w:w="60"/>
              <w:right w:type="dxa" w:w="100"/>
            </w:tcMar>
          </w:tcPr>
          <w:p>
            <w:pPr>
              <w:jc w:val="center"/>
            </w:pPr>
            <w:r>
              <w:rPr>
                <w:b w:val="false"/>
                <w:bCs w:val="false"/>
                <w:color w:val="222222"/>
                <w:sz w:val="19"/>
                <w:szCs w:val="19"/>
              </w:rPr>
              <w:t xml:space="preserve">₹3,213 Cr / ₹86,213 Cr</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WACC</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13.76% (≈13.8%)</w:t>
            </w:r>
          </w:p>
        </w:tc>
        <w:tc>
          <w:tcPr>
            <w:tcW w:type="dxa" w:w="4100"/>
            <w:shd w:fill="F2F2F2" w:val="clear"/>
            <w:tcMar>
              <w:top w:type="dxa" w:w="60"/>
              <w:left w:type="dxa" w:w="100"/>
              <w:bottom w:type="dxa" w:w="60"/>
              <w:right w:type="dxa" w:w="100"/>
            </w:tcMar>
          </w:tcPr>
          <w:p>
            <w:pPr>
              <w:jc w:val="center"/>
            </w:pPr>
            <w:r>
              <w:rPr>
                <w:b w:val="false"/>
                <w:bCs w:val="false"/>
                <w:color w:val="222222"/>
                <w:sz w:val="19"/>
                <w:szCs w:val="19"/>
              </w:rPr>
              <w:t xml:space="preserve">E/V × Ke + D/V × Kd(1-t)</w:t>
            </w:r>
          </w:p>
        </w:tc>
      </w:tr>
    </w:tbl>
    <w:p>
      <w:pPr>
        <w:spacing w:after="160" w:line="276"/>
      </w:pPr>
      <w:r>
        <w:rPr>
          <w:color w:val="222222"/>
          <w:sz w:val="21"/>
          <w:szCs w:val="21"/>
        </w:rPr>
        <w:t xml:space="preserve">Note on capital structure weights: using market-value weights (as institutional practice requires) makes Waaree look under-levered because its equity has re-rated so far above book value since the 2024 IPO. On book-value weights instead (Equity ₹14,438 Cr, Debt ₹3,213 Cr), the debt weight rises to ~18.2% and WACC falls modestly toward ~13.0%, since Kd(1-t) &lt; Ke. This gap is worth surfacing explicitly to an interviewer — it demonstrates the weighting choice is a judgment call, not a mechanical output.</w:t>
      </w:r>
    </w:p>
    <w:p>
      <w:pPr>
        <w:pStyle w:val="Heading2"/>
        <w:spacing w:after="150" w:before="300"/>
      </w:pPr>
      <w:r>
        <w:t xml:space="preserve">2.2 Revenue, Margin, and Cash Flow Forecast (FY27E–FY31E)</w:t>
      </w:r>
    </w:p>
    <w:p>
      <w:pPr>
        <w:spacing w:after="160" w:line="276"/>
      </w:pPr>
      <w:r>
        <w:rPr>
          <w:color w:val="222222"/>
          <w:sz w:val="21"/>
          <w:szCs w:val="21"/>
        </w:rPr>
        <w:t xml:space="preserve">Forecast assumptions are deliberately anchored to Part I's findings rather than a smooth extrapolation of FY26's 84% growth rate, which the industry research (ALMM List-II supply transition, module overcapacity, Section 1 of Part I) makes clear is not repeatable.</w:t>
      </w:r>
    </w:p>
    <w:tbl>
      <w:tblPr>
        <w:tblW w:type="dxa" w:w="9950"/>
        <w:tblBorders>
          <w:top w:val="single" w:color="D9D9D9" w:sz="4"/>
          <w:left w:val="single" w:color="D9D9D9" w:sz="4"/>
          <w:bottom w:val="single" w:color="D9D9D9" w:sz="4"/>
          <w:right w:val="single" w:color="D9D9D9" w:sz="4"/>
          <w:insideH w:val="single" w:color="D9D9D9" w:sz="2"/>
          <w:insideV w:val="single" w:color="D9D9D9" w:sz="2"/>
        </w:tblBorders>
      </w:tblPr>
      <w:tblGrid>
        <w:gridCol w:w="2450"/>
        <w:gridCol w:w="1500"/>
        <w:gridCol w:w="1500"/>
        <w:gridCol w:w="1500"/>
        <w:gridCol w:w="1500"/>
        <w:gridCol w:w="1500"/>
      </w:tblGrid>
      <w:tr>
        <w:trPr>
          <w:tblHeader/>
        </w:trPr>
        <w:tc>
          <w:tcPr>
            <w:tcW w:type="dxa" w:w="2450"/>
            <w:shd w:fill="1F2A44" w:val="clear"/>
            <w:tcMar>
              <w:top w:type="dxa" w:w="60"/>
              <w:left w:type="dxa" w:w="100"/>
              <w:bottom w:type="dxa" w:w="60"/>
              <w:right w:type="dxa" w:w="100"/>
            </w:tcMar>
          </w:tcPr>
          <w:p>
            <w:pPr>
              <w:jc w:val="left"/>
            </w:pPr>
            <w:r>
              <w:rPr>
                <w:b/>
                <w:bCs/>
                <w:color w:val="FFFFFF"/>
                <w:sz w:val="19"/>
                <w:szCs w:val="19"/>
              </w:rPr>
              <w:t xml:space="preserve">Assumption</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FY27E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FY28E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FY29E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FY30E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FY31E</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Revenue growth %</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20%</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12%</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EBITDA margin %</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20.0%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20.5%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21.0%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21.5%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22.0%</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D&amp;A (% of revenue)</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4.3%</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3.8%</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Capex (% of revenue)</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8.0%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7.0%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6.0%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5.0%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4.5%</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Δ Net Working Capital (% of Δ revenue)</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14%</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12%</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10%</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10%</w:t>
            </w:r>
          </w:p>
        </w:tc>
      </w:tr>
    </w:tbl>
    <w:p>
      <w:pPr>
        <w:spacing w:after="160" w:line="276"/>
      </w:pPr>
      <w:r>
        <w:rPr>
          <w:color w:val="222222"/>
          <w:sz w:val="21"/>
          <w:szCs w:val="21"/>
        </w:rPr>
        <w:t xml:space="preserve">Rationale: revenue growth fades from FY27's still-strong 35% (final year of the current capacity ramp plus early cell-integration revenue) toward a terminal-adjacent 12% by FY31, roughly in line with the industry's structural annual demand growth (Part I, Section 1.1). EBITDA margin is assumed to expand gradually (20% → 22%) as cell backward-integration reduces reliance on ALMM List-II-mandated but costlier domestic-cell purchases (Part I, Section 1.3) — this is the single assumption most exposed to the ALMM cost-pass-through risk flagged in Part I, and should be stress-tested first in any sensitivity work. Capex intensity is assumed to taper from FY26's elevated, acquisition-and-cell-capacity-driven level (Part I, Section 3.2) toward a lower maintenance-plus-growth level by FY31. Working capital intensity is assumed to normalize gradually from FY26's stressed 90-day cash conversion cycle (Part I, Section 4.3) but is NOT assumed to fully revert to FY25's 35-day level within the explicit forecast window — a deliberately conservative choice given no evidence yet that the FY26 deterioration was purely transitory.</w:t>
      </w:r>
    </w:p>
    <w:tbl>
      <w:tblPr>
        <w:tblW w:type="dxa" w:w="9950"/>
        <w:tblBorders>
          <w:top w:val="single" w:color="D9D9D9" w:sz="4"/>
          <w:left w:val="single" w:color="D9D9D9" w:sz="4"/>
          <w:bottom w:val="single" w:color="D9D9D9" w:sz="4"/>
          <w:right w:val="single" w:color="D9D9D9" w:sz="4"/>
          <w:insideH w:val="single" w:color="D9D9D9" w:sz="2"/>
          <w:insideV w:val="single" w:color="D9D9D9" w:sz="2"/>
        </w:tblBorders>
      </w:tblPr>
      <w:tblGrid>
        <w:gridCol w:w="2450"/>
        <w:gridCol w:w="1500"/>
        <w:gridCol w:w="1500"/>
        <w:gridCol w:w="1500"/>
        <w:gridCol w:w="1500"/>
        <w:gridCol w:w="1500"/>
      </w:tblGrid>
      <w:tr>
        <w:trPr>
          <w:tblHeader/>
        </w:trPr>
        <w:tc>
          <w:tcPr>
            <w:tcW w:type="dxa" w:w="2450"/>
            <w:shd w:fill="1F2A44" w:val="clear"/>
            <w:tcMar>
              <w:top w:type="dxa" w:w="60"/>
              <w:left w:type="dxa" w:w="100"/>
              <w:bottom w:type="dxa" w:w="60"/>
              <w:right w:type="dxa" w:w="100"/>
            </w:tcMar>
          </w:tcPr>
          <w:p>
            <w:pPr>
              <w:jc w:val="left"/>
            </w:pPr>
            <w:r>
              <w:rPr>
                <w:b/>
                <w:bCs/>
                <w:color w:val="FFFFFF"/>
                <w:sz w:val="19"/>
                <w:szCs w:val="19"/>
              </w:rPr>
              <w:t xml:space="preserve">₹ Crore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FY27E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FY28E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FY29E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FY30E</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FY31E</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Revenue</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35,825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44,781</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53,737</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61,798</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69,214</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EBITDA</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7,165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9,180</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11,285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13,287</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15,227</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Less: D&amp;A</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1,612</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2,015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2,311</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2,472</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2,630</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EBIT</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5,553</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7,165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8,974</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10,815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12,597</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NOPAT (EBIT × (1-25%))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4,165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5,374</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6,731</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8,111</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9,448</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Add back: D&amp;A</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1,612</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2,015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2,311</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2,472</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2,630</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Less: Capex</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2,866</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3,135</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3,224</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3,090</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3,115</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Less: Δ Net Working Capital</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1,393</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1,254</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1,075</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806</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742</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Free Cash Flow to Firm (FCFF)</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1,518</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3,000</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4,742</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6,687</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8,222</w:t>
            </w:r>
          </w:p>
        </w:tc>
      </w:tr>
    </w:tbl>
    <w:p>
      <w:pPr>
        <w:pStyle w:val="Heading2"/>
        <w:spacing w:after="150" w:before="300"/>
      </w:pPr>
      <w:r>
        <w:t xml:space="preserve">2.3 Enterprise &amp; Equity Value</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5700"/>
        <w:gridCol w:w="3600"/>
      </w:tblGrid>
      <w:tr>
        <w:trPr>
          <w:tblHeader/>
        </w:trPr>
        <w:tc>
          <w:tcPr>
            <w:tcW w:type="dxa" w:w="5700"/>
            <w:shd w:fill="1F2A44" w:val="clear"/>
            <w:tcMar>
              <w:top w:type="dxa" w:w="60"/>
              <w:left w:type="dxa" w:w="100"/>
              <w:bottom w:type="dxa" w:w="60"/>
              <w:right w:type="dxa" w:w="100"/>
            </w:tcMar>
          </w:tcPr>
          <w:p>
            <w:pPr>
              <w:jc w:val="left"/>
            </w:pPr>
            <w:r>
              <w:rPr>
                <w:b/>
                <w:bCs/>
                <w:color w:val="FFFFFF"/>
                <w:sz w:val="19"/>
                <w:szCs w:val="19"/>
              </w:rPr>
              <w:t xml:space="preserve">Component</w:t>
            </w:r>
          </w:p>
        </w:tc>
        <w:tc>
          <w:tcPr>
            <w:tcW w:type="dxa" w:w="3600"/>
            <w:shd w:fill="1F2A44" w:val="clear"/>
            <w:tcMar>
              <w:top w:type="dxa" w:w="60"/>
              <w:left w:type="dxa" w:w="100"/>
              <w:bottom w:type="dxa" w:w="60"/>
              <w:right w:type="dxa" w:w="100"/>
            </w:tcMar>
          </w:tcPr>
          <w:p>
            <w:pPr>
              <w:jc w:val="center"/>
            </w:pPr>
            <w:r>
              <w:rPr>
                <w:b/>
                <w:bCs/>
                <w:color w:val="FFFFFF"/>
                <w:sz w:val="19"/>
                <w:szCs w:val="19"/>
              </w:rPr>
              <w:t xml:space="preserve">Value (₹ Cr)</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PV of explicit FCFF (FY27E–FY31E), discounted @ 13.76%</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15,180</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Terminal Value (Gordon Growth, g = 5.0%) at end of FY31</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98,502</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PV of Terminal Value</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51,692</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Enterprise Value</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66,872</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Less: Net Debt (Borrowings ₹3,213 Cr − Cash/Investments proxy ₹953 Cr)</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(2,260)</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Equity Value</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64,612</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Diluted Shares Outstanding (Cr) [derived: FY26 PAT ÷ EPS]</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30.1</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Intrinsic Value per Share (₹)</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2,146</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CMP (late June 2026, ₹)</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2,886</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Implied Downside to DCF Base Case</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(25.6%)</w:t>
            </w:r>
          </w:p>
        </w:tc>
      </w:tr>
    </w:tbl>
    <w:p>
      <w:pPr>
        <w:spacing w:after="160" w:line="276"/>
      </w:pPr>
      <w:r>
        <w:rPr>
          <w:color w:val="222222"/>
          <w:sz w:val="21"/>
          <w:szCs w:val="21"/>
        </w:rPr>
        <w:t xml:space="preserve">The terminal value represents 77% of total enterprise value in the base case — a high but not unusual proportion for a company still in its explicit high-growth phase; it does mean the valuation is highly sensitive to the terminal growth and WACC assumptions, which is exactly why the sensitivity table below (not the single base-case number) is the actually useful output for decision-making.</w:t>
      </w:r>
    </w:p>
    <w:p>
      <w:pPr>
        <w:pStyle w:val="Heading2"/>
        <w:spacing w:after="150" w:before="300"/>
      </w:pPr>
      <w:r>
        <w:t xml:space="preserve">2.4 Sensitivity Analysis — Intrinsic Value per Share (₹)</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50"/>
        <w:gridCol w:w="1380"/>
        <w:gridCol w:w="1380"/>
        <w:gridCol w:w="1380"/>
        <w:gridCol w:w="1380"/>
        <w:gridCol w:w="1380"/>
      </w:tblGrid>
      <w:tr>
        <w:trPr>
          <w:tblHeader/>
        </w:trPr>
        <w:tc>
          <w:tcPr>
            <w:tcW w:type="dxa" w:w="2450"/>
            <w:shd w:fill="1F2A44" w:val="clear"/>
            <w:tcMar>
              <w:top w:type="dxa" w:w="60"/>
              <w:left w:type="dxa" w:w="100"/>
              <w:bottom w:type="dxa" w:w="60"/>
              <w:right w:type="dxa" w:w="100"/>
            </w:tcMar>
          </w:tcPr>
          <w:p>
            <w:pPr>
              <w:jc w:val="left"/>
            </w:pPr>
            <w:r>
              <w:rPr>
                <w:b/>
                <w:bCs/>
                <w:color w:val="FFFFFF"/>
                <w:sz w:val="19"/>
                <w:szCs w:val="19"/>
              </w:rPr>
              <w:t xml:space="preserve">WACC \ Terminal Growth</w:t>
            </w:r>
          </w:p>
        </w:tc>
        <w:tc>
          <w:tcPr>
            <w:tcW w:type="dxa" w:w="1380"/>
            <w:shd w:fill="1F2A44" w:val="clear"/>
            <w:tcMar>
              <w:top w:type="dxa" w:w="60"/>
              <w:left w:type="dxa" w:w="100"/>
              <w:bottom w:type="dxa" w:w="60"/>
              <w:right w:type="dxa" w:w="100"/>
            </w:tcMar>
          </w:tcPr>
          <w:p>
            <w:pPr>
              <w:jc w:val="center"/>
            </w:pPr>
            <w:r>
              <w:rPr>
                <w:b/>
                <w:bCs/>
                <w:color w:val="FFFFFF"/>
                <w:sz w:val="19"/>
                <w:szCs w:val="19"/>
              </w:rPr>
              <w:t xml:space="preserve">3.0%</w:t>
            </w:r>
          </w:p>
        </w:tc>
        <w:tc>
          <w:tcPr>
            <w:tcW w:type="dxa" w:w="1380"/>
            <w:shd w:fill="1F2A44" w:val="clear"/>
            <w:tcMar>
              <w:top w:type="dxa" w:w="60"/>
              <w:left w:type="dxa" w:w="100"/>
              <w:bottom w:type="dxa" w:w="60"/>
              <w:right w:type="dxa" w:w="100"/>
            </w:tcMar>
          </w:tcPr>
          <w:p>
            <w:pPr>
              <w:jc w:val="center"/>
            </w:pPr>
            <w:r>
              <w:rPr>
                <w:b/>
                <w:bCs/>
                <w:color w:val="FFFFFF"/>
                <w:sz w:val="19"/>
                <w:szCs w:val="19"/>
              </w:rPr>
              <w:t xml:space="preserve">4.0%</w:t>
            </w:r>
          </w:p>
        </w:tc>
        <w:tc>
          <w:tcPr>
            <w:tcW w:type="dxa" w:w="1380"/>
            <w:shd w:fill="1F2A44" w:val="clear"/>
            <w:tcMar>
              <w:top w:type="dxa" w:w="60"/>
              <w:left w:type="dxa" w:w="100"/>
              <w:bottom w:type="dxa" w:w="60"/>
              <w:right w:type="dxa" w:w="100"/>
            </w:tcMar>
          </w:tcPr>
          <w:p>
            <w:pPr>
              <w:jc w:val="center"/>
            </w:pPr>
            <w:r>
              <w:rPr>
                <w:b/>
                <w:bCs/>
                <w:color w:val="FFFFFF"/>
                <w:sz w:val="19"/>
                <w:szCs w:val="19"/>
              </w:rPr>
              <w:t xml:space="preserve">5.0%</w:t>
            </w:r>
          </w:p>
        </w:tc>
        <w:tc>
          <w:tcPr>
            <w:tcW w:type="dxa" w:w="1380"/>
            <w:shd w:fill="1F2A44" w:val="clear"/>
            <w:tcMar>
              <w:top w:type="dxa" w:w="60"/>
              <w:left w:type="dxa" w:w="100"/>
              <w:bottom w:type="dxa" w:w="60"/>
              <w:right w:type="dxa" w:w="100"/>
            </w:tcMar>
          </w:tcPr>
          <w:p>
            <w:pPr>
              <w:jc w:val="center"/>
            </w:pPr>
            <w:r>
              <w:rPr>
                <w:b/>
                <w:bCs/>
                <w:color w:val="FFFFFF"/>
                <w:sz w:val="19"/>
                <w:szCs w:val="19"/>
              </w:rPr>
              <w:t xml:space="preserve">6.0%</w:t>
            </w:r>
          </w:p>
        </w:tc>
        <w:tc>
          <w:tcPr>
            <w:tcW w:type="dxa" w:w="1380"/>
            <w:shd w:fill="1F2A44" w:val="clear"/>
            <w:tcMar>
              <w:top w:type="dxa" w:w="60"/>
              <w:left w:type="dxa" w:w="100"/>
              <w:bottom w:type="dxa" w:w="60"/>
              <w:right w:type="dxa" w:w="100"/>
            </w:tcMar>
          </w:tcPr>
          <w:p>
            <w:pPr>
              <w:jc w:val="center"/>
            </w:pPr>
            <w:r>
              <w:rPr>
                <w:b/>
                <w:bCs/>
                <w:color w:val="FFFFFF"/>
                <w:sz w:val="19"/>
                <w:szCs w:val="19"/>
              </w:rPr>
              <w:t xml:space="preserve">7.0%</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11.8%</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2,291</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2,546</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2,875</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3,319</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3,947</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12.8%</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2,016</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2,212</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2,458</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2,776</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3,203</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13.8% (base)</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1,793</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1,947</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2,136</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2,373</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2,680</w:t>
            </w:r>
          </w:p>
        </w:tc>
      </w:tr>
      <w:tr>
        <w:tc>
          <w:tcPr>
            <w:tcW w:type="dxa" w:w="2450"/>
            <w:shd w:fill="F2F2F2" w:val="clear"/>
            <w:tcMar>
              <w:top w:type="dxa" w:w="60"/>
              <w:left w:type="dxa" w:w="100"/>
              <w:bottom w:type="dxa" w:w="60"/>
              <w:right w:type="dxa" w:w="100"/>
            </w:tcMar>
          </w:tcPr>
          <w:p>
            <w:pPr>
              <w:jc w:val="left"/>
            </w:pPr>
            <w:r>
              <w:rPr>
                <w:b/>
                <w:bCs/>
                <w:color w:val="222222"/>
                <w:sz w:val="19"/>
                <w:szCs w:val="19"/>
              </w:rPr>
              <w:t xml:space="preserve">14.8%</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1,609</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1,732</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1,881</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2,063</w:t>
            </w:r>
          </w:p>
        </w:tc>
        <w:tc>
          <w:tcPr>
            <w:tcW w:type="dxa" w:w="1380"/>
            <w:shd w:fill="F2F2F2" w:val="clear"/>
            <w:tcMar>
              <w:top w:type="dxa" w:w="60"/>
              <w:left w:type="dxa" w:w="100"/>
              <w:bottom w:type="dxa" w:w="60"/>
              <w:right w:type="dxa" w:w="100"/>
            </w:tcMar>
          </w:tcPr>
          <w:p>
            <w:pPr>
              <w:jc w:val="center"/>
            </w:pPr>
            <w:r>
              <w:rPr>
                <w:b w:val="false"/>
                <w:bCs w:val="false"/>
                <w:color w:val="222222"/>
                <w:sz w:val="19"/>
                <w:szCs w:val="19"/>
              </w:rPr>
              <w:t xml:space="preserve">2,292</w:t>
            </w:r>
          </w:p>
        </w:tc>
      </w:tr>
      <w:tr>
        <w:tc>
          <w:tcPr>
            <w:tcW w:type="dxa" w:w="2450"/>
            <w:shd w:fill="FFFFFF" w:val="clear"/>
            <w:tcMar>
              <w:top w:type="dxa" w:w="60"/>
              <w:left w:type="dxa" w:w="100"/>
              <w:bottom w:type="dxa" w:w="60"/>
              <w:right w:type="dxa" w:w="100"/>
            </w:tcMar>
          </w:tcPr>
          <w:p>
            <w:pPr>
              <w:jc w:val="left"/>
            </w:pPr>
            <w:r>
              <w:rPr>
                <w:b/>
                <w:bCs/>
                <w:color w:val="222222"/>
                <w:sz w:val="19"/>
                <w:szCs w:val="19"/>
              </w:rPr>
              <w:t xml:space="preserve">15.8%</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1,454</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1,555</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1,674</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1,818</w:t>
            </w:r>
          </w:p>
        </w:tc>
        <w:tc>
          <w:tcPr>
            <w:tcW w:type="dxa" w:w="1380"/>
            <w:shd w:fill="FFFFFF" w:val="clear"/>
            <w:tcMar>
              <w:top w:type="dxa" w:w="60"/>
              <w:left w:type="dxa" w:w="100"/>
              <w:bottom w:type="dxa" w:w="60"/>
              <w:right w:type="dxa" w:w="100"/>
            </w:tcMar>
          </w:tcPr>
          <w:p>
            <w:pPr>
              <w:jc w:val="center"/>
            </w:pPr>
            <w:r>
              <w:rPr>
                <w:b w:val="false"/>
                <w:bCs w:val="false"/>
                <w:color w:val="222222"/>
                <w:sz w:val="19"/>
                <w:szCs w:val="19"/>
              </w:rPr>
              <w:t xml:space="preserve">1,994</w:t>
            </w:r>
          </w:p>
        </w:tc>
      </w:tr>
    </w:tbl>
    <w:p>
      <w:pPr>
        <w:spacing w:after="160" w:line="276"/>
      </w:pPr>
      <w:r>
        <w:rPr>
          <w:color w:val="222222"/>
          <w:sz w:val="21"/>
          <w:szCs w:val="21"/>
        </w:rPr>
        <w:t xml:space="preserve">Across the full plausible range (WACC 11.8%-15.8%, terminal growth 3-7%), DCF-implied value spans roughly ₹1,450 to ₹3,950 per share. The current market price of ₹2,886 sits inside this band but requires a WACC/growth combination toward the more optimistic corner (e.g., WACC ~12.8% with g ~6%, or WACC ~11.8% with g ~5%) to be justified purely on DCF grounds — i.e., the market may be pricing in either a lower risk premium than assumed here, a higher sustained terminal growth rate, or cash-flow assumptions more optimistic than the deliberately conservative working-capital fade used above.</w:t>
      </w:r>
    </w:p>
    <w:p>
      <w:r>
        <w:br w:type="page"/>
      </w:r>
    </w:p>
    <w:p>
      <w:pPr>
        <w:pStyle w:val="Heading1"/>
        <w:spacing w:after="200" w:before="400"/>
      </w:pPr>
      <w:r>
        <w:t xml:space="preserve">3. Relative Valuation (Comparable Company Analysis)</w:t>
      </w:r>
    </w:p>
    <w:p>
      <w:pPr>
        <w:pStyle w:val="Heading2"/>
        <w:spacing w:after="150" w:before="300"/>
      </w:pPr>
      <w:r>
        <w:t xml:space="preserve">3.1 Peer Set</w:t>
      </w:r>
    </w:p>
    <w:p>
      <w:pPr>
        <w:spacing w:after="160" w:line="276"/>
      </w:pPr>
      <w:r>
        <w:rPr>
          <w:color w:val="222222"/>
          <w:sz w:val="21"/>
          <w:szCs w:val="21"/>
        </w:rPr>
        <w:t xml:space="preserve">The clean, pure-play comparable set for Waaree in Indian public markets comprises Premier Energies, Vikram Solar, and Websol Energy System — all ALMM-listed, India-domiciled solar module/cell manufacturers with disclosed standalone financials. Adani Solar and Tata Power Solar are excluded because they sit inside diversified conglomerate listings (Adani Enterprises/Adani Green, Tata Power) without a clean standalone equity or EBITDA figure to isolate.</w:t>
      </w:r>
    </w:p>
    <w:tbl>
      <w:tblPr>
        <w:tblW w:type="dxa" w:w="10350"/>
        <w:tblBorders>
          <w:top w:val="single" w:color="D9D9D9" w:sz="4"/>
          <w:left w:val="single" w:color="D9D9D9" w:sz="4"/>
          <w:bottom w:val="single" w:color="D9D9D9" w:sz="4"/>
          <w:right w:val="single" w:color="D9D9D9" w:sz="4"/>
          <w:insideH w:val="single" w:color="D9D9D9" w:sz="2"/>
          <w:insideV w:val="single" w:color="D9D9D9" w:sz="2"/>
        </w:tblBorders>
      </w:tblPr>
      <w:tblGrid>
        <w:gridCol w:w="2200"/>
        <w:gridCol w:w="1550"/>
        <w:gridCol w:w="1400"/>
        <w:gridCol w:w="1550"/>
        <w:gridCol w:w="1200"/>
        <w:gridCol w:w="1500"/>
        <w:gridCol w:w="950"/>
      </w:tblGrid>
      <w:tr>
        <w:trPr>
          <w:tblHeader/>
        </w:trPr>
        <w:tc>
          <w:tcPr>
            <w:tcW w:type="dxa" w:w="2200"/>
            <w:shd w:fill="1F2A44" w:val="clear"/>
            <w:tcMar>
              <w:top w:type="dxa" w:w="60"/>
              <w:left w:type="dxa" w:w="100"/>
              <w:bottom w:type="dxa" w:w="60"/>
              <w:right w:type="dxa" w:w="100"/>
            </w:tcMar>
          </w:tcPr>
          <w:p>
            <w:pPr>
              <w:jc w:val="left"/>
            </w:pPr>
            <w:r>
              <w:rPr>
                <w:b/>
                <w:bCs/>
                <w:color w:val="FFFFFF"/>
                <w:sz w:val="19"/>
                <w:szCs w:val="19"/>
              </w:rPr>
              <w:t xml:space="preserve">Company</w:t>
            </w:r>
          </w:p>
        </w:tc>
        <w:tc>
          <w:tcPr>
            <w:tcW w:type="dxa" w:w="1550"/>
            <w:shd w:fill="1F2A44" w:val="clear"/>
            <w:tcMar>
              <w:top w:type="dxa" w:w="60"/>
              <w:left w:type="dxa" w:w="100"/>
              <w:bottom w:type="dxa" w:w="60"/>
              <w:right w:type="dxa" w:w="100"/>
            </w:tcMar>
          </w:tcPr>
          <w:p>
            <w:pPr>
              <w:jc w:val="center"/>
            </w:pPr>
            <w:r>
              <w:rPr>
                <w:b/>
                <w:bCs/>
                <w:color w:val="FFFFFF"/>
                <w:sz w:val="19"/>
                <w:szCs w:val="19"/>
              </w:rPr>
              <w:t xml:space="preserve">Mkt Cap (₹ Cr)</w:t>
            </w:r>
          </w:p>
        </w:tc>
        <w:tc>
          <w:tcPr>
            <w:tcW w:type="dxa" w:w="1400"/>
            <w:shd w:fill="1F2A44" w:val="clear"/>
            <w:tcMar>
              <w:top w:type="dxa" w:w="60"/>
              <w:left w:type="dxa" w:w="100"/>
              <w:bottom w:type="dxa" w:w="60"/>
              <w:right w:type="dxa" w:w="100"/>
            </w:tcMar>
          </w:tcPr>
          <w:p>
            <w:pPr>
              <w:jc w:val="center"/>
            </w:pPr>
            <w:r>
              <w:rPr>
                <w:b/>
                <w:bCs/>
                <w:color w:val="FFFFFF"/>
                <w:sz w:val="19"/>
                <w:szCs w:val="19"/>
              </w:rPr>
              <w:t xml:space="preserve">P/E (x)</w:t>
            </w:r>
          </w:p>
        </w:tc>
        <w:tc>
          <w:tcPr>
            <w:tcW w:type="dxa" w:w="1550"/>
            <w:shd w:fill="1F2A44" w:val="clear"/>
            <w:tcMar>
              <w:top w:type="dxa" w:w="60"/>
              <w:left w:type="dxa" w:w="100"/>
              <w:bottom w:type="dxa" w:w="60"/>
              <w:right w:type="dxa" w:w="100"/>
            </w:tcMar>
          </w:tcPr>
          <w:p>
            <w:pPr>
              <w:jc w:val="center"/>
            </w:pPr>
            <w:r>
              <w:rPr>
                <w:b/>
                <w:bCs/>
                <w:color w:val="FFFFFF"/>
                <w:sz w:val="19"/>
                <w:szCs w:val="19"/>
              </w:rPr>
              <w:t xml:space="preserve">EV/EBITDA (x)</w:t>
            </w:r>
          </w:p>
        </w:tc>
        <w:tc>
          <w:tcPr>
            <w:tcW w:type="dxa" w:w="1200"/>
            <w:shd w:fill="1F2A44" w:val="clear"/>
            <w:tcMar>
              <w:top w:type="dxa" w:w="60"/>
              <w:left w:type="dxa" w:w="100"/>
              <w:bottom w:type="dxa" w:w="60"/>
              <w:right w:type="dxa" w:w="100"/>
            </w:tcMar>
          </w:tcPr>
          <w:p>
            <w:pPr>
              <w:jc w:val="center"/>
            </w:pPr>
            <w:r>
              <w:rPr>
                <w:b/>
                <w:bCs/>
                <w:color w:val="FFFFFF"/>
                <w:sz w:val="19"/>
                <w:szCs w:val="19"/>
              </w:rPr>
              <w:t xml:space="preserve">P/B (x)</w:t>
            </w:r>
          </w:p>
        </w:tc>
        <w:tc>
          <w:tcPr>
            <w:tcW w:type="dxa" w:w="1500"/>
            <w:shd w:fill="1F2A44" w:val="clear"/>
            <w:tcMar>
              <w:top w:type="dxa" w:w="60"/>
              <w:left w:type="dxa" w:w="100"/>
              <w:bottom w:type="dxa" w:w="60"/>
              <w:right w:type="dxa" w:w="100"/>
            </w:tcMar>
          </w:tcPr>
          <w:p>
            <w:pPr>
              <w:jc w:val="center"/>
            </w:pPr>
            <w:r>
              <w:rPr>
                <w:b/>
                <w:bCs/>
                <w:color w:val="FFFFFF"/>
                <w:sz w:val="19"/>
                <w:szCs w:val="19"/>
              </w:rPr>
              <w:t xml:space="preserve">EBITDA Margin</w:t>
            </w:r>
          </w:p>
        </w:tc>
        <w:tc>
          <w:tcPr>
            <w:tcW w:type="dxa" w:w="950"/>
            <w:shd w:fill="1F2A44" w:val="clear"/>
            <w:tcMar>
              <w:top w:type="dxa" w:w="60"/>
              <w:left w:type="dxa" w:w="100"/>
              <w:bottom w:type="dxa" w:w="60"/>
              <w:right w:type="dxa" w:w="100"/>
            </w:tcMar>
          </w:tcPr>
          <w:p>
            <w:pPr>
              <w:jc w:val="center"/>
            </w:pPr>
            <w:r>
              <w:rPr>
                <w:b/>
                <w:bCs/>
                <w:color w:val="FFFFFF"/>
                <w:sz w:val="19"/>
                <w:szCs w:val="19"/>
              </w:rPr>
              <w:t xml:space="preserve">Basis / Date</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Waaree Energies</w:t>
            </w:r>
          </w:p>
        </w:tc>
        <w:tc>
          <w:tcPr>
            <w:tcW w:type="dxa" w:w="1550"/>
            <w:shd w:fill="FFFFFF" w:val="clear"/>
            <w:tcMar>
              <w:top w:type="dxa" w:w="60"/>
              <w:left w:type="dxa" w:w="100"/>
              <w:bottom w:type="dxa" w:w="60"/>
              <w:right w:type="dxa" w:w="100"/>
            </w:tcMar>
          </w:tcPr>
          <w:p>
            <w:pPr>
              <w:jc w:val="center"/>
            </w:pPr>
            <w:r>
              <w:rPr>
                <w:b w:val="false"/>
                <w:bCs w:val="false"/>
                <w:color w:val="222222"/>
                <w:sz w:val="19"/>
                <w:szCs w:val="19"/>
              </w:rPr>
              <w:t xml:space="preserve">~83,000</w:t>
            </w:r>
          </w:p>
        </w:tc>
        <w:tc>
          <w:tcPr>
            <w:tcW w:type="dxa" w:w="1400"/>
            <w:shd w:fill="FFFFFF" w:val="clear"/>
            <w:tcMar>
              <w:top w:type="dxa" w:w="60"/>
              <w:left w:type="dxa" w:w="100"/>
              <w:bottom w:type="dxa" w:w="60"/>
              <w:right w:type="dxa" w:w="100"/>
            </w:tcMar>
          </w:tcPr>
          <w:p>
            <w:pPr>
              <w:jc w:val="center"/>
            </w:pPr>
            <w:r>
              <w:rPr>
                <w:b w:val="false"/>
                <w:bCs w:val="false"/>
                <w:color w:val="222222"/>
                <w:sz w:val="19"/>
                <w:szCs w:val="19"/>
              </w:rPr>
              <w:t xml:space="preserve">21.1 – 29.5</w:t>
            </w:r>
          </w:p>
        </w:tc>
        <w:tc>
          <w:tcPr>
            <w:tcW w:type="dxa" w:w="1550"/>
            <w:shd w:fill="FFFFFF" w:val="clear"/>
            <w:tcMar>
              <w:top w:type="dxa" w:w="60"/>
              <w:left w:type="dxa" w:w="100"/>
              <w:bottom w:type="dxa" w:w="60"/>
              <w:right w:type="dxa" w:w="100"/>
            </w:tcMar>
          </w:tcPr>
          <w:p>
            <w:pPr>
              <w:jc w:val="center"/>
            </w:pPr>
            <w:r>
              <w:rPr>
                <w:b w:val="false"/>
                <w:bCs w:val="false"/>
                <w:color w:val="222222"/>
                <w:sz w:val="19"/>
                <w:szCs w:val="19"/>
              </w:rPr>
              <w:t xml:space="preserve">~14.4</w:t>
            </w:r>
          </w:p>
        </w:tc>
        <w:tc>
          <w:tcPr>
            <w:tcW w:type="dxa" w:w="1200"/>
            <w:shd w:fill="FFFFFF" w:val="clear"/>
            <w:tcMar>
              <w:top w:type="dxa" w:w="60"/>
              <w:left w:type="dxa" w:w="100"/>
              <w:bottom w:type="dxa" w:w="60"/>
              <w:right w:type="dxa" w:w="100"/>
            </w:tcMar>
          </w:tcPr>
          <w:p>
            <w:pPr>
              <w:jc w:val="center"/>
            </w:pPr>
            <w:r>
              <w:rPr>
                <w:b w:val="false"/>
                <w:bCs w:val="false"/>
                <w:color w:val="222222"/>
                <w:sz w:val="19"/>
                <w:szCs w:val="19"/>
              </w:rPr>
              <w:t xml:space="preserve">~5.7</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22% (FY26)</w:t>
            </w:r>
          </w:p>
        </w:tc>
        <w:tc>
          <w:tcPr>
            <w:tcW w:type="dxa" w:w="950"/>
            <w:shd w:fill="FFFFFF" w:val="clear"/>
            <w:tcMar>
              <w:top w:type="dxa" w:w="60"/>
              <w:left w:type="dxa" w:w="100"/>
              <w:bottom w:type="dxa" w:w="60"/>
              <w:right w:type="dxa" w:w="100"/>
            </w:tcMar>
          </w:tcPr>
          <w:p>
            <w:pPr>
              <w:jc w:val="center"/>
            </w:pPr>
            <w:r>
              <w:rPr>
                <w:b w:val="false"/>
                <w:bCs w:val="false"/>
                <w:color w:val="222222"/>
                <w:sz w:val="19"/>
                <w:szCs w:val="19"/>
              </w:rPr>
              <w:t xml:space="preserve">Late Jun 2026</w:t>
            </w:r>
          </w:p>
        </w:tc>
      </w:tr>
      <w:tr>
        <w:tc>
          <w:tcPr>
            <w:tcW w:type="dxa" w:w="2200"/>
            <w:shd w:fill="F2F2F2" w:val="clear"/>
            <w:tcMar>
              <w:top w:type="dxa" w:w="60"/>
              <w:left w:type="dxa" w:w="100"/>
              <w:bottom w:type="dxa" w:w="60"/>
              <w:right w:type="dxa" w:w="100"/>
            </w:tcMar>
          </w:tcPr>
          <w:p>
            <w:pPr>
              <w:jc w:val="left"/>
            </w:pPr>
            <w:r>
              <w:rPr>
                <w:b/>
                <w:bCs/>
                <w:color w:val="222222"/>
                <w:sz w:val="19"/>
                <w:szCs w:val="19"/>
              </w:rPr>
              <w:t xml:space="preserve">Premier Energies</w:t>
            </w:r>
          </w:p>
        </w:tc>
        <w:tc>
          <w:tcPr>
            <w:tcW w:type="dxa" w:w="1550"/>
            <w:shd w:fill="F2F2F2" w:val="clear"/>
            <w:tcMar>
              <w:top w:type="dxa" w:w="60"/>
              <w:left w:type="dxa" w:w="100"/>
              <w:bottom w:type="dxa" w:w="60"/>
              <w:right w:type="dxa" w:w="100"/>
            </w:tcMar>
          </w:tcPr>
          <w:p>
            <w:pPr>
              <w:jc w:val="center"/>
            </w:pPr>
            <w:r>
              <w:rPr>
                <w:b w:val="false"/>
                <w:bCs w:val="false"/>
                <w:color w:val="222222"/>
                <w:sz w:val="19"/>
                <w:szCs w:val="19"/>
              </w:rPr>
              <w:t xml:space="preserve">~46,544</w:t>
            </w:r>
          </w:p>
        </w:tc>
        <w:tc>
          <w:tcPr>
            <w:tcW w:type="dxa" w:w="1400"/>
            <w:shd w:fill="F2F2F2" w:val="clear"/>
            <w:tcMar>
              <w:top w:type="dxa" w:w="60"/>
              <w:left w:type="dxa" w:w="100"/>
              <w:bottom w:type="dxa" w:w="60"/>
              <w:right w:type="dxa" w:w="100"/>
            </w:tcMar>
          </w:tcPr>
          <w:p>
            <w:pPr>
              <w:jc w:val="center"/>
            </w:pPr>
            <w:r>
              <w:rPr>
                <w:b w:val="false"/>
                <w:bCs w:val="false"/>
                <w:color w:val="222222"/>
                <w:sz w:val="19"/>
                <w:szCs w:val="19"/>
              </w:rPr>
              <w:t xml:space="preserve">30.8</w:t>
            </w:r>
          </w:p>
        </w:tc>
        <w:tc>
          <w:tcPr>
            <w:tcW w:type="dxa" w:w="1550"/>
            <w:shd w:fill="F2F2F2" w:val="clear"/>
            <w:tcMar>
              <w:top w:type="dxa" w:w="60"/>
              <w:left w:type="dxa" w:w="100"/>
              <w:bottom w:type="dxa" w:w="60"/>
              <w:right w:type="dxa" w:w="100"/>
            </w:tcMar>
          </w:tcPr>
          <w:p>
            <w:pPr>
              <w:jc w:val="center"/>
            </w:pPr>
            <w:r>
              <w:rPr>
                <w:b w:val="false"/>
                <w:bCs w:val="false"/>
                <w:color w:val="222222"/>
                <w:sz w:val="19"/>
                <w:szCs w:val="19"/>
              </w:rPr>
              <w:t xml:space="preserve">20.2</w:t>
            </w:r>
          </w:p>
        </w:tc>
        <w:tc>
          <w:tcPr>
            <w:tcW w:type="dxa" w:w="1200"/>
            <w:shd w:fill="F2F2F2" w:val="clear"/>
            <w:tcMar>
              <w:top w:type="dxa" w:w="60"/>
              <w:left w:type="dxa" w:w="100"/>
              <w:bottom w:type="dxa" w:w="60"/>
              <w:right w:type="dxa" w:w="100"/>
            </w:tcMar>
          </w:tcPr>
          <w:p>
            <w:pPr>
              <w:jc w:val="center"/>
            </w:pPr>
            <w:r>
              <w:rPr>
                <w:b w:val="false"/>
                <w:bCs w:val="false"/>
                <w:color w:val="222222"/>
                <w:sz w:val="19"/>
                <w:szCs w:val="19"/>
              </w:rPr>
              <w:t xml:space="preserve">~15.8*</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27-28% (FY25)</w:t>
            </w:r>
          </w:p>
        </w:tc>
        <w:tc>
          <w:tcPr>
            <w:tcW w:type="dxa" w:w="950"/>
            <w:shd w:fill="F2F2F2" w:val="clear"/>
            <w:tcMar>
              <w:top w:type="dxa" w:w="60"/>
              <w:left w:type="dxa" w:w="100"/>
              <w:bottom w:type="dxa" w:w="60"/>
              <w:right w:type="dxa" w:w="100"/>
            </w:tcMar>
          </w:tcPr>
          <w:p>
            <w:pPr>
              <w:jc w:val="center"/>
            </w:pPr>
            <w:r>
              <w:rPr>
                <w:b w:val="false"/>
                <w:bCs w:val="false"/>
                <w:color w:val="222222"/>
                <w:sz w:val="19"/>
                <w:szCs w:val="19"/>
              </w:rPr>
              <w:t xml:space="preserve">Early Jul 2026</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Vikram Solar</w:t>
            </w:r>
          </w:p>
        </w:tc>
        <w:tc>
          <w:tcPr>
            <w:tcW w:type="dxa" w:w="1550"/>
            <w:shd w:fill="FFFFFF" w:val="clear"/>
            <w:tcMar>
              <w:top w:type="dxa" w:w="60"/>
              <w:left w:type="dxa" w:w="100"/>
              <w:bottom w:type="dxa" w:w="60"/>
              <w:right w:type="dxa" w:w="100"/>
            </w:tcMar>
          </w:tcPr>
          <w:p>
            <w:pPr>
              <w:jc w:val="center"/>
            </w:pPr>
            <w:r>
              <w:rPr>
                <w:b w:val="false"/>
                <w:bCs w:val="false"/>
                <w:color w:val="222222"/>
                <w:sz w:val="19"/>
                <w:szCs w:val="19"/>
              </w:rPr>
              <w:t xml:space="preserve">~6,660 – 8,000†</w:t>
            </w:r>
          </w:p>
        </w:tc>
        <w:tc>
          <w:tcPr>
            <w:tcW w:type="dxa" w:w="1400"/>
            <w:shd w:fill="FFFFFF" w:val="clear"/>
            <w:tcMar>
              <w:top w:type="dxa" w:w="60"/>
              <w:left w:type="dxa" w:w="100"/>
              <w:bottom w:type="dxa" w:w="60"/>
              <w:right w:type="dxa" w:w="100"/>
            </w:tcMar>
          </w:tcPr>
          <w:p>
            <w:pPr>
              <w:jc w:val="center"/>
            </w:pPr>
            <w:r>
              <w:rPr>
                <w:b w:val="false"/>
                <w:bCs w:val="false"/>
                <w:color w:val="222222"/>
                <w:sz w:val="19"/>
                <w:szCs w:val="19"/>
              </w:rPr>
              <w:t xml:space="preserve">68-72 (at IPO)</w:t>
            </w:r>
          </w:p>
        </w:tc>
        <w:tc>
          <w:tcPr>
            <w:tcW w:type="dxa" w:w="1550"/>
            <w:shd w:fill="FFFFFF" w:val="clear"/>
            <w:tcMar>
              <w:top w:type="dxa" w:w="60"/>
              <w:left w:type="dxa" w:w="100"/>
              <w:bottom w:type="dxa" w:w="60"/>
              <w:right w:type="dxa" w:w="100"/>
            </w:tcMar>
          </w:tcPr>
          <w:p>
            <w:pPr>
              <w:jc w:val="center"/>
            </w:pPr>
            <w:r>
              <w:rPr>
                <w:b w:val="false"/>
                <w:bCs w:val="false"/>
                <w:color w:val="222222"/>
                <w:sz w:val="19"/>
                <w:szCs w:val="19"/>
              </w:rPr>
              <w:t xml:space="preserve">n/a — refine in Part III</w:t>
            </w:r>
          </w:p>
        </w:tc>
        <w:tc>
          <w:tcPr>
            <w:tcW w:type="dxa" w:w="1200"/>
            <w:shd w:fill="FFFFFF" w:val="clear"/>
            <w:tcMar>
              <w:top w:type="dxa" w:w="60"/>
              <w:left w:type="dxa" w:w="100"/>
              <w:bottom w:type="dxa" w:w="60"/>
              <w:right w:type="dxa" w:w="100"/>
            </w:tcMar>
          </w:tcPr>
          <w:p>
            <w:pPr>
              <w:jc w:val="center"/>
            </w:pPr>
            <w:r>
              <w:rPr>
                <w:b w:val="false"/>
                <w:bCs w:val="false"/>
                <w:color w:val="222222"/>
                <w:sz w:val="19"/>
                <w:szCs w:val="19"/>
              </w:rPr>
              <w:t xml:space="preserve">~8.4*</w:t>
            </w:r>
          </w:p>
        </w:tc>
        <w:tc>
          <w:tcPr>
            <w:tcW w:type="dxa" w:w="1500"/>
            <w:shd w:fill="FFFFFF" w:val="clear"/>
            <w:tcMar>
              <w:top w:type="dxa" w:w="60"/>
              <w:left w:type="dxa" w:w="100"/>
              <w:bottom w:type="dxa" w:w="60"/>
              <w:right w:type="dxa" w:w="100"/>
            </w:tcMar>
          </w:tcPr>
          <w:p>
            <w:pPr>
              <w:jc w:val="center"/>
            </w:pPr>
            <w:r>
              <w:rPr>
                <w:b w:val="false"/>
                <w:bCs w:val="false"/>
                <w:color w:val="222222"/>
                <w:sz w:val="19"/>
                <w:szCs w:val="19"/>
              </w:rPr>
              <w:t xml:space="preserve">14.4% (FY25)</w:t>
            </w:r>
          </w:p>
        </w:tc>
        <w:tc>
          <w:tcPr>
            <w:tcW w:type="dxa" w:w="950"/>
            <w:shd w:fill="FFFFFF" w:val="clear"/>
            <w:tcMar>
              <w:top w:type="dxa" w:w="60"/>
              <w:left w:type="dxa" w:w="100"/>
              <w:bottom w:type="dxa" w:w="60"/>
              <w:right w:type="dxa" w:w="100"/>
            </w:tcMar>
          </w:tcPr>
          <w:p>
            <w:pPr>
              <w:jc w:val="center"/>
            </w:pPr>
            <w:r>
              <w:rPr>
                <w:b w:val="false"/>
                <w:bCs w:val="false"/>
                <w:color w:val="222222"/>
                <w:sz w:val="19"/>
                <w:szCs w:val="19"/>
              </w:rPr>
              <w:t xml:space="preserve">Aug 2025 IPO / Jul 2026 price</w:t>
            </w:r>
          </w:p>
        </w:tc>
      </w:tr>
      <w:tr>
        <w:tc>
          <w:tcPr>
            <w:tcW w:type="dxa" w:w="2200"/>
            <w:shd w:fill="F2F2F2" w:val="clear"/>
            <w:tcMar>
              <w:top w:type="dxa" w:w="60"/>
              <w:left w:type="dxa" w:w="100"/>
              <w:bottom w:type="dxa" w:w="60"/>
              <w:right w:type="dxa" w:w="100"/>
            </w:tcMar>
          </w:tcPr>
          <w:p>
            <w:pPr>
              <w:jc w:val="left"/>
            </w:pPr>
            <w:r>
              <w:rPr>
                <w:b/>
                <w:bCs/>
                <w:color w:val="222222"/>
                <w:sz w:val="19"/>
                <w:szCs w:val="19"/>
              </w:rPr>
              <w:t xml:space="preserve">Websol Energy System</w:t>
            </w:r>
          </w:p>
        </w:tc>
        <w:tc>
          <w:tcPr>
            <w:tcW w:type="dxa" w:w="1550"/>
            <w:shd w:fill="F2F2F2" w:val="clear"/>
            <w:tcMar>
              <w:top w:type="dxa" w:w="60"/>
              <w:left w:type="dxa" w:w="100"/>
              <w:bottom w:type="dxa" w:w="60"/>
              <w:right w:type="dxa" w:w="100"/>
            </w:tcMar>
          </w:tcPr>
          <w:p>
            <w:pPr>
              <w:jc w:val="center"/>
            </w:pPr>
            <w:r>
              <w:rPr>
                <w:b w:val="false"/>
                <w:bCs w:val="false"/>
                <w:color w:val="222222"/>
                <w:sz w:val="19"/>
                <w:szCs w:val="19"/>
              </w:rPr>
              <w:t xml:space="preserve">n/a — refine in Part III</w:t>
            </w:r>
          </w:p>
        </w:tc>
        <w:tc>
          <w:tcPr>
            <w:tcW w:type="dxa" w:w="1400"/>
            <w:shd w:fill="F2F2F2" w:val="clear"/>
            <w:tcMar>
              <w:top w:type="dxa" w:w="60"/>
              <w:left w:type="dxa" w:w="100"/>
              <w:bottom w:type="dxa" w:w="60"/>
              <w:right w:type="dxa" w:w="100"/>
            </w:tcMar>
          </w:tcPr>
          <w:p>
            <w:pPr>
              <w:jc w:val="center"/>
            </w:pPr>
            <w:r>
              <w:rPr>
                <w:b w:val="false"/>
                <w:bCs w:val="false"/>
                <w:color w:val="222222"/>
                <w:sz w:val="19"/>
                <w:szCs w:val="19"/>
              </w:rPr>
              <w:t xml:space="preserve">29.7-30.0</w:t>
            </w:r>
          </w:p>
        </w:tc>
        <w:tc>
          <w:tcPr>
            <w:tcW w:type="dxa" w:w="1550"/>
            <w:shd w:fill="F2F2F2" w:val="clear"/>
            <w:tcMar>
              <w:top w:type="dxa" w:w="60"/>
              <w:left w:type="dxa" w:w="100"/>
              <w:bottom w:type="dxa" w:w="60"/>
              <w:right w:type="dxa" w:w="100"/>
            </w:tcMar>
          </w:tcPr>
          <w:p>
            <w:pPr>
              <w:jc w:val="center"/>
            </w:pPr>
            <w:r>
              <w:rPr>
                <w:b w:val="false"/>
                <w:bCs w:val="false"/>
                <w:color w:val="222222"/>
                <w:sz w:val="19"/>
                <w:szCs w:val="19"/>
              </w:rPr>
              <w:t xml:space="preserve">n/a — refine in Part III</w:t>
            </w:r>
          </w:p>
        </w:tc>
        <w:tc>
          <w:tcPr>
            <w:tcW w:type="dxa" w:w="1200"/>
            <w:shd w:fill="F2F2F2" w:val="clear"/>
            <w:tcMar>
              <w:top w:type="dxa" w:w="60"/>
              <w:left w:type="dxa" w:w="100"/>
              <w:bottom w:type="dxa" w:w="60"/>
              <w:right w:type="dxa" w:w="100"/>
            </w:tcMar>
          </w:tcPr>
          <w:p>
            <w:pPr>
              <w:jc w:val="center"/>
            </w:pPr>
            <w:r>
              <w:rPr>
                <w:b w:val="false"/>
                <w:bCs w:val="false"/>
                <w:color w:val="222222"/>
                <w:sz w:val="19"/>
                <w:szCs w:val="19"/>
              </w:rPr>
              <w:t xml:space="preserve">~21.3*</w:t>
            </w:r>
          </w:p>
        </w:tc>
        <w:tc>
          <w:tcPr>
            <w:tcW w:type="dxa" w:w="1500"/>
            <w:shd w:fill="F2F2F2" w:val="clear"/>
            <w:tcMar>
              <w:top w:type="dxa" w:w="60"/>
              <w:left w:type="dxa" w:w="100"/>
              <w:bottom w:type="dxa" w:w="60"/>
              <w:right w:type="dxa" w:w="100"/>
            </w:tcMar>
          </w:tcPr>
          <w:p>
            <w:pPr>
              <w:jc w:val="center"/>
            </w:pPr>
            <w:r>
              <w:rPr>
                <w:b w:val="false"/>
                <w:bCs w:val="false"/>
                <w:color w:val="222222"/>
                <w:sz w:val="19"/>
                <w:szCs w:val="19"/>
              </w:rPr>
              <w:t xml:space="preserve">44% (FY25)</w:t>
            </w:r>
          </w:p>
        </w:tc>
        <w:tc>
          <w:tcPr>
            <w:tcW w:type="dxa" w:w="950"/>
            <w:shd w:fill="F2F2F2" w:val="clear"/>
            <w:tcMar>
              <w:top w:type="dxa" w:w="60"/>
              <w:left w:type="dxa" w:w="100"/>
              <w:bottom w:type="dxa" w:w="60"/>
              <w:right w:type="dxa" w:w="100"/>
            </w:tcMar>
          </w:tcPr>
          <w:p>
            <w:pPr>
              <w:jc w:val="center"/>
            </w:pPr>
            <w:r>
              <w:rPr>
                <w:b w:val="false"/>
                <w:bCs w:val="false"/>
                <w:color w:val="222222"/>
                <w:sz w:val="19"/>
                <w:szCs w:val="19"/>
              </w:rPr>
              <w:t xml:space="preserve">Aug 2025</w:t>
            </w:r>
          </w:p>
        </w:tc>
      </w:tr>
    </w:tbl>
    <w:p>
      <w:pPr>
        <w:spacing w:after="160" w:line="276"/>
      </w:pPr>
      <w:r>
        <w:rPr>
          <w:i/>
          <w:iCs/>
          <w:color w:val="555555"/>
          <w:sz w:val="17"/>
          <w:szCs w:val="17"/>
        </w:rPr>
        <w:t xml:space="preserve">* P/B figures for Premier, Vikram, and Websol sourced from an August 2025 peer comparison (ipocentral.in / SPTulsian IPO analysis around Vikram Solar's listing) and have not been refreshed to July 2026 — flagged explicitly rather than presented as current. † Vikram Solar's share price has declined ~22.5% year-to-date through early July 2026 per Goodreturns, which will have compressed its P/E multiple materially below the 68-72x IPO-era figure; an updated figure should be pulled directly in Part III before this is used for a live investment decision.</w:t>
      </w:r>
    </w:p>
    <w:p>
      <w:pPr>
        <w:pStyle w:val="Heading2"/>
        <w:spacing w:after="150" w:before="300"/>
      </w:pPr>
      <w:r>
        <w:t xml:space="preserve">3.2 Implied Valuation — EV/EBITDA Approach</w:t>
      </w:r>
    </w:p>
    <w:p>
      <w:pPr>
        <w:spacing w:after="160" w:line="276"/>
      </w:pPr>
      <w:r>
        <w:rPr>
          <w:color w:val="222222"/>
          <w:sz w:val="21"/>
          <w:szCs w:val="21"/>
        </w:rPr>
        <w:t xml:space="preserve">Applying Premier Energies' current EV/EBITDA multiple (20.2x — the freshest, most reliable comparable multiple available, versus Waaree's own current 14.4x) to Waaree's FY26 EBITDA of ₹5,909 Cr:</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5700"/>
        <w:gridCol w:w="3600"/>
      </w:tblGrid>
      <w:tr>
        <w:trPr>
          <w:tblHeader/>
        </w:trPr>
        <w:tc>
          <w:tcPr>
            <w:tcW w:type="dxa" w:w="5700"/>
            <w:shd w:fill="1F2A44" w:val="clear"/>
            <w:tcMar>
              <w:top w:type="dxa" w:w="60"/>
              <w:left w:type="dxa" w:w="100"/>
              <w:bottom w:type="dxa" w:w="60"/>
              <w:right w:type="dxa" w:w="100"/>
            </w:tcMar>
          </w:tcPr>
          <w:p>
            <w:pPr>
              <w:jc w:val="left"/>
            </w:pPr>
            <w:r>
              <w:rPr>
                <w:b/>
                <w:bCs/>
                <w:color w:val="FFFFFF"/>
                <w:sz w:val="19"/>
                <w:szCs w:val="19"/>
              </w:rPr>
              <w:t xml:space="preserve">Step</w:t>
            </w:r>
          </w:p>
        </w:tc>
        <w:tc>
          <w:tcPr>
            <w:tcW w:type="dxa" w:w="3600"/>
            <w:shd w:fill="1F2A44" w:val="clear"/>
            <w:tcMar>
              <w:top w:type="dxa" w:w="60"/>
              <w:left w:type="dxa" w:w="100"/>
              <w:bottom w:type="dxa" w:w="60"/>
              <w:right w:type="dxa" w:w="100"/>
            </w:tcMar>
          </w:tcPr>
          <w:p>
            <w:pPr>
              <w:jc w:val="center"/>
            </w:pPr>
            <w:r>
              <w:rPr>
                <w:b/>
                <w:bCs/>
                <w:color w:val="FFFFFF"/>
                <w:sz w:val="19"/>
                <w:szCs w:val="19"/>
              </w:rPr>
              <w:t xml:space="preserve">Value</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Peer EV/EBITDA multiple (Premier Energies)</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20.2x</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Waaree FY26 EBITDA (₹ Cr)</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5,909</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Implied Enterprise Value (₹ Cr)</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119,480</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Less: Net Debt (₹ Cr)</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(2,260)</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Implied Equity Value (₹ Cr)</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117,220</w:t>
            </w:r>
          </w:p>
        </w:tc>
      </w:tr>
      <w:tr>
        <w:tc>
          <w:tcPr>
            <w:tcW w:type="dxa" w:w="5700"/>
            <w:shd w:fill="F2F2F2" w:val="clear"/>
            <w:tcMar>
              <w:top w:type="dxa" w:w="60"/>
              <w:left w:type="dxa" w:w="100"/>
              <w:bottom w:type="dxa" w:w="60"/>
              <w:right w:type="dxa" w:w="100"/>
            </w:tcMar>
          </w:tcPr>
          <w:p>
            <w:pPr>
              <w:jc w:val="left"/>
            </w:pPr>
            <w:r>
              <w:rPr>
                <w:b/>
                <w:bCs/>
                <w:color w:val="222222"/>
                <w:sz w:val="19"/>
                <w:szCs w:val="19"/>
              </w:rPr>
              <w:t xml:space="preserve">Implied Value per Share (₹)</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3,894</w:t>
            </w:r>
          </w:p>
        </w:tc>
      </w:tr>
      <w:tr>
        <w:tc>
          <w:tcPr>
            <w:tcW w:type="dxa" w:w="5700"/>
            <w:shd w:fill="FFFFFF" w:val="clear"/>
            <w:tcMar>
              <w:top w:type="dxa" w:w="60"/>
              <w:left w:type="dxa" w:w="100"/>
              <w:bottom w:type="dxa" w:w="60"/>
              <w:right w:type="dxa" w:w="100"/>
            </w:tcMar>
          </w:tcPr>
          <w:p>
            <w:pPr>
              <w:jc w:val="left"/>
            </w:pPr>
            <w:r>
              <w:rPr>
                <w:b/>
                <w:bCs/>
                <w:color w:val="222222"/>
                <w:sz w:val="19"/>
                <w:szCs w:val="19"/>
              </w:rPr>
              <w:t xml:space="preserve">Upside/(Downside) vs. CMP ₹2,886</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+35.0%</w:t>
            </w:r>
          </w:p>
        </w:tc>
      </w:tr>
    </w:tbl>
    <w:p>
      <w:pPr>
        <w:pStyle w:val="Heading2"/>
        <w:spacing w:after="150" w:before="300"/>
      </w:pPr>
      <w:r>
        <w:t xml:space="preserve">3.3 Implied Valuation — P/E Approach</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3300"/>
        <w:gridCol w:w="2000"/>
        <w:gridCol w:w="2000"/>
        <w:gridCol w:w="2000"/>
      </w:tblGrid>
      <w:tr>
        <w:trPr>
          <w:tblHeader/>
        </w:trPr>
        <w:tc>
          <w:tcPr>
            <w:tcW w:type="dxa" w:w="3300"/>
            <w:shd w:fill="1F2A44" w:val="clear"/>
            <w:tcMar>
              <w:top w:type="dxa" w:w="60"/>
              <w:left w:type="dxa" w:w="100"/>
              <w:bottom w:type="dxa" w:w="60"/>
              <w:right w:type="dxa" w:w="100"/>
            </w:tcMar>
          </w:tcPr>
          <w:p>
            <w:pPr>
              <w:jc w:val="left"/>
            </w:pPr>
            <w:r>
              <w:rPr>
                <w:b/>
                <w:bCs/>
                <w:color w:val="FFFFFF"/>
                <w:sz w:val="19"/>
                <w:szCs w:val="19"/>
              </w:rPr>
              <w:t xml:space="preserve">Step</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Premier Multiple</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Websol Multiple</w:t>
            </w:r>
          </w:p>
        </w:tc>
        <w:tc>
          <w:tcPr>
            <w:tcW w:type="dxa" w:w="2000"/>
            <w:shd w:fill="1F2A44" w:val="clear"/>
            <w:tcMar>
              <w:top w:type="dxa" w:w="60"/>
              <w:left w:type="dxa" w:w="100"/>
              <w:bottom w:type="dxa" w:w="60"/>
              <w:right w:type="dxa" w:w="100"/>
            </w:tcMar>
          </w:tcPr>
          <w:p>
            <w:pPr>
              <w:jc w:val="center"/>
            </w:pPr>
            <w:r>
              <w:rPr>
                <w:b/>
                <w:bCs/>
                <w:color w:val="FFFFFF"/>
                <w:sz w:val="19"/>
                <w:szCs w:val="19"/>
              </w:rPr>
              <w:t xml:space="preserve">Peer Average</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Peer P/E (x)</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30.8x</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29.7x</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30.3x</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Waaree FY26 EPS (₹)</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129.02</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129.02</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129.02</w:t>
            </w:r>
          </w:p>
        </w:tc>
      </w:tr>
      <w:tr>
        <w:tc>
          <w:tcPr>
            <w:tcW w:type="dxa" w:w="3300"/>
            <w:shd w:fill="FFFFFF" w:val="clear"/>
            <w:tcMar>
              <w:top w:type="dxa" w:w="60"/>
              <w:left w:type="dxa" w:w="100"/>
              <w:bottom w:type="dxa" w:w="60"/>
              <w:right w:type="dxa" w:w="100"/>
            </w:tcMar>
          </w:tcPr>
          <w:p>
            <w:pPr>
              <w:jc w:val="left"/>
            </w:pPr>
            <w:r>
              <w:rPr>
                <w:b/>
                <w:bCs/>
                <w:color w:val="222222"/>
                <w:sz w:val="19"/>
                <w:szCs w:val="19"/>
              </w:rPr>
              <w:t xml:space="preserve">Implied Value per Share (₹)</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3,978</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3,832</w:t>
            </w:r>
          </w:p>
        </w:tc>
        <w:tc>
          <w:tcPr>
            <w:tcW w:type="dxa" w:w="2000"/>
            <w:shd w:fill="FFFFFF" w:val="clear"/>
            <w:tcMar>
              <w:top w:type="dxa" w:w="60"/>
              <w:left w:type="dxa" w:w="100"/>
              <w:bottom w:type="dxa" w:w="60"/>
              <w:right w:type="dxa" w:w="100"/>
            </w:tcMar>
          </w:tcPr>
          <w:p>
            <w:pPr>
              <w:jc w:val="center"/>
            </w:pPr>
            <w:r>
              <w:rPr>
                <w:b w:val="false"/>
                <w:bCs w:val="false"/>
                <w:color w:val="222222"/>
                <w:sz w:val="19"/>
                <w:szCs w:val="19"/>
              </w:rPr>
              <w:t xml:space="preserve">3,905</w:t>
            </w:r>
          </w:p>
        </w:tc>
      </w:tr>
      <w:tr>
        <w:tc>
          <w:tcPr>
            <w:tcW w:type="dxa" w:w="3300"/>
            <w:shd w:fill="F2F2F2" w:val="clear"/>
            <w:tcMar>
              <w:top w:type="dxa" w:w="60"/>
              <w:left w:type="dxa" w:w="100"/>
              <w:bottom w:type="dxa" w:w="60"/>
              <w:right w:type="dxa" w:w="100"/>
            </w:tcMar>
          </w:tcPr>
          <w:p>
            <w:pPr>
              <w:jc w:val="left"/>
            </w:pPr>
            <w:r>
              <w:rPr>
                <w:b/>
                <w:bCs/>
                <w:color w:val="222222"/>
                <w:sz w:val="19"/>
                <w:szCs w:val="19"/>
              </w:rPr>
              <w:t xml:space="preserve">Upside/(Downside) vs. CMP ₹2,886</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+37.9%</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+32.8%</w:t>
            </w:r>
          </w:p>
        </w:tc>
        <w:tc>
          <w:tcPr>
            <w:tcW w:type="dxa" w:w="2000"/>
            <w:shd w:fill="F2F2F2" w:val="clear"/>
            <w:tcMar>
              <w:top w:type="dxa" w:w="60"/>
              <w:left w:type="dxa" w:w="100"/>
              <w:bottom w:type="dxa" w:w="60"/>
              <w:right w:type="dxa" w:w="100"/>
            </w:tcMar>
          </w:tcPr>
          <w:p>
            <w:pPr>
              <w:jc w:val="center"/>
            </w:pPr>
            <w:r>
              <w:rPr>
                <w:b w:val="false"/>
                <w:bCs w:val="false"/>
                <w:color w:val="222222"/>
                <w:sz w:val="19"/>
                <w:szCs w:val="19"/>
              </w:rPr>
              <w:t xml:space="preserve">+35.3%</w:t>
            </w:r>
          </w:p>
        </w:tc>
      </w:tr>
    </w:tbl>
    <w:p>
      <w:pPr>
        <w:spacing w:after="160" w:line="276"/>
      </w:pPr>
      <w:r>
        <w:rPr>
          <w:color w:val="222222"/>
          <w:sz w:val="21"/>
          <w:szCs w:val="21"/>
        </w:rPr>
        <w:t xml:space="preserve">Both comps methods converge tightly (EV/EBITDA implies +35.0%, average P/E implies +35.3%) — that internal consistency is reassuring on the arithmetic, but it does not resolve the deeper question of whether Premier and Websol's own multiples are themselves fully justified or partly reflect the same sector-wide ALMM List-II optimism this report flagged as a risk, not a certainty, in Part I Section 1.3. Comps valuation is only as good as the peer set's own pricing discipline.</w:t>
      </w:r>
    </w:p>
    <w:p>
      <w:r>
        <w:br w:type="page"/>
      </w:r>
    </w:p>
    <w:p>
      <w:pPr>
        <w:pStyle w:val="Heading1"/>
        <w:spacing w:after="200" w:before="400"/>
      </w:pPr>
      <w:r>
        <w:t xml:space="preserve">4. Triangulation &amp; Interpretation</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4400"/>
        <w:gridCol w:w="2900"/>
        <w:gridCol w:w="2050"/>
      </w:tblGrid>
      <w:tr>
        <w:trPr>
          <w:tblHeader/>
        </w:trPr>
        <w:tc>
          <w:tcPr>
            <w:tcW w:type="dxa" w:w="4400"/>
            <w:shd w:fill="1F2A44" w:val="clear"/>
            <w:tcMar>
              <w:top w:type="dxa" w:w="60"/>
              <w:left w:type="dxa" w:w="100"/>
              <w:bottom w:type="dxa" w:w="60"/>
              <w:right w:type="dxa" w:w="100"/>
            </w:tcMar>
          </w:tcPr>
          <w:p>
            <w:pPr>
              <w:jc w:val="left"/>
            </w:pPr>
            <w:r>
              <w:rPr>
                <w:b/>
                <w:bCs/>
                <w:color w:val="FFFFFF"/>
                <w:sz w:val="19"/>
                <w:szCs w:val="19"/>
              </w:rPr>
              <w:t xml:space="preserve">Methodology</w:t>
            </w:r>
          </w:p>
        </w:tc>
        <w:tc>
          <w:tcPr>
            <w:tcW w:type="dxa" w:w="2900"/>
            <w:shd w:fill="1F2A44" w:val="clear"/>
            <w:tcMar>
              <w:top w:type="dxa" w:w="60"/>
              <w:left w:type="dxa" w:w="100"/>
              <w:bottom w:type="dxa" w:w="60"/>
              <w:right w:type="dxa" w:w="100"/>
            </w:tcMar>
          </w:tcPr>
          <w:p>
            <w:pPr>
              <w:jc w:val="center"/>
            </w:pPr>
            <w:r>
              <w:rPr>
                <w:b/>
                <w:bCs/>
                <w:color w:val="FFFFFF"/>
                <w:sz w:val="19"/>
                <w:szCs w:val="19"/>
              </w:rPr>
              <w:t xml:space="preserve">Implied Value / Share (₹)</w:t>
            </w:r>
          </w:p>
        </w:tc>
        <w:tc>
          <w:tcPr>
            <w:tcW w:type="dxa" w:w="2050"/>
            <w:shd w:fill="1F2A44" w:val="clear"/>
            <w:tcMar>
              <w:top w:type="dxa" w:w="60"/>
              <w:left w:type="dxa" w:w="100"/>
              <w:bottom w:type="dxa" w:w="60"/>
              <w:right w:type="dxa" w:w="100"/>
            </w:tcMar>
          </w:tcPr>
          <w:p>
            <w:pPr>
              <w:jc w:val="center"/>
            </w:pPr>
            <w:r>
              <w:rPr>
                <w:b/>
                <w:bCs/>
                <w:color w:val="FFFFFF"/>
                <w:sz w:val="19"/>
                <w:szCs w:val="19"/>
              </w:rPr>
              <w:t xml:space="preserve">vs. CMP ₹2,886</w:t>
            </w:r>
          </w:p>
        </w:tc>
      </w:tr>
      <w:tr>
        <w:tc>
          <w:tcPr>
            <w:tcW w:type="dxa" w:w="4400"/>
            <w:shd w:fill="FFFFFF" w:val="clear"/>
            <w:tcMar>
              <w:top w:type="dxa" w:w="60"/>
              <w:left w:type="dxa" w:w="100"/>
              <w:bottom w:type="dxa" w:w="60"/>
              <w:right w:type="dxa" w:w="100"/>
            </w:tcMar>
          </w:tcPr>
          <w:p>
            <w:pPr>
              <w:jc w:val="left"/>
            </w:pPr>
            <w:r>
              <w:rPr>
                <w:b/>
                <w:bCs/>
                <w:color w:val="222222"/>
                <w:sz w:val="19"/>
                <w:szCs w:val="19"/>
              </w:rPr>
              <w:t xml:space="preserve">DCF — Base Case (WACC 13.8%, g 5.0%)</w:t>
            </w:r>
          </w:p>
        </w:tc>
        <w:tc>
          <w:tcPr>
            <w:tcW w:type="dxa" w:w="2900"/>
            <w:shd w:fill="FFFFFF" w:val="clear"/>
            <w:tcMar>
              <w:top w:type="dxa" w:w="60"/>
              <w:left w:type="dxa" w:w="100"/>
              <w:bottom w:type="dxa" w:w="60"/>
              <w:right w:type="dxa" w:w="100"/>
            </w:tcMar>
          </w:tcPr>
          <w:p>
            <w:pPr>
              <w:jc w:val="center"/>
            </w:pPr>
            <w:r>
              <w:rPr>
                <w:b w:val="false"/>
                <w:bCs w:val="false"/>
                <w:color w:val="222222"/>
                <w:sz w:val="19"/>
                <w:szCs w:val="19"/>
              </w:rPr>
              <w:t xml:space="preserve">2,146</w:t>
            </w:r>
          </w:p>
        </w:tc>
        <w:tc>
          <w:tcPr>
            <w:tcW w:type="dxa" w:w="2050"/>
            <w:shd w:fill="FFFFFF" w:val="clear"/>
            <w:tcMar>
              <w:top w:type="dxa" w:w="60"/>
              <w:left w:type="dxa" w:w="100"/>
              <w:bottom w:type="dxa" w:w="60"/>
              <w:right w:type="dxa" w:w="100"/>
            </w:tcMar>
          </w:tcPr>
          <w:p>
            <w:pPr>
              <w:jc w:val="center"/>
            </w:pPr>
            <w:r>
              <w:rPr>
                <w:b w:val="false"/>
                <w:bCs w:val="false"/>
                <w:color w:val="222222"/>
                <w:sz w:val="19"/>
                <w:szCs w:val="19"/>
              </w:rPr>
              <w:t xml:space="preserve">-25.6%</w:t>
            </w:r>
          </w:p>
        </w:tc>
      </w:tr>
      <w:tr>
        <w:tc>
          <w:tcPr>
            <w:tcW w:type="dxa" w:w="4400"/>
            <w:shd w:fill="F2F2F2" w:val="clear"/>
            <w:tcMar>
              <w:top w:type="dxa" w:w="60"/>
              <w:left w:type="dxa" w:w="100"/>
              <w:bottom w:type="dxa" w:w="60"/>
              <w:right w:type="dxa" w:w="100"/>
            </w:tcMar>
          </w:tcPr>
          <w:p>
            <w:pPr>
              <w:jc w:val="left"/>
            </w:pPr>
            <w:r>
              <w:rPr>
                <w:b/>
                <w:bCs/>
                <w:color w:val="222222"/>
                <w:sz w:val="19"/>
                <w:szCs w:val="19"/>
              </w:rPr>
              <w:t xml:space="preserve">DCF — Optimistic corner (WACC 12.8%, g 6.0%)</w:t>
            </w:r>
          </w:p>
        </w:tc>
        <w:tc>
          <w:tcPr>
            <w:tcW w:type="dxa" w:w="2900"/>
            <w:shd w:fill="F2F2F2" w:val="clear"/>
            <w:tcMar>
              <w:top w:type="dxa" w:w="60"/>
              <w:left w:type="dxa" w:w="100"/>
              <w:bottom w:type="dxa" w:w="60"/>
              <w:right w:type="dxa" w:w="100"/>
            </w:tcMar>
          </w:tcPr>
          <w:p>
            <w:pPr>
              <w:jc w:val="center"/>
            </w:pPr>
            <w:r>
              <w:rPr>
                <w:b w:val="false"/>
                <w:bCs w:val="false"/>
                <w:color w:val="222222"/>
                <w:sz w:val="19"/>
                <w:szCs w:val="19"/>
              </w:rPr>
              <w:t xml:space="preserve">2,776</w:t>
            </w:r>
          </w:p>
        </w:tc>
        <w:tc>
          <w:tcPr>
            <w:tcW w:type="dxa" w:w="2050"/>
            <w:shd w:fill="F2F2F2" w:val="clear"/>
            <w:tcMar>
              <w:top w:type="dxa" w:w="60"/>
              <w:left w:type="dxa" w:w="100"/>
              <w:bottom w:type="dxa" w:w="60"/>
              <w:right w:type="dxa" w:w="100"/>
            </w:tcMar>
          </w:tcPr>
          <w:p>
            <w:pPr>
              <w:jc w:val="center"/>
            </w:pPr>
            <w:r>
              <w:rPr>
                <w:b w:val="false"/>
                <w:bCs w:val="false"/>
                <w:color w:val="222222"/>
                <w:sz w:val="19"/>
                <w:szCs w:val="19"/>
              </w:rPr>
              <w:t xml:space="preserve">-3.8%</w:t>
            </w:r>
          </w:p>
        </w:tc>
      </w:tr>
      <w:tr>
        <w:tc>
          <w:tcPr>
            <w:tcW w:type="dxa" w:w="4400"/>
            <w:shd w:fill="FFFFFF" w:val="clear"/>
            <w:tcMar>
              <w:top w:type="dxa" w:w="60"/>
              <w:left w:type="dxa" w:w="100"/>
              <w:bottom w:type="dxa" w:w="60"/>
              <w:right w:type="dxa" w:w="100"/>
            </w:tcMar>
          </w:tcPr>
          <w:p>
            <w:pPr>
              <w:jc w:val="left"/>
            </w:pPr>
            <w:r>
              <w:rPr>
                <w:b/>
                <w:bCs/>
                <w:color w:val="222222"/>
                <w:sz w:val="19"/>
                <w:szCs w:val="19"/>
              </w:rPr>
              <w:t xml:space="preserve">DCF — Full sensitivity range</w:t>
            </w:r>
          </w:p>
        </w:tc>
        <w:tc>
          <w:tcPr>
            <w:tcW w:type="dxa" w:w="2900"/>
            <w:shd w:fill="FFFFFF" w:val="clear"/>
            <w:tcMar>
              <w:top w:type="dxa" w:w="60"/>
              <w:left w:type="dxa" w:w="100"/>
              <w:bottom w:type="dxa" w:w="60"/>
              <w:right w:type="dxa" w:w="100"/>
            </w:tcMar>
          </w:tcPr>
          <w:p>
            <w:pPr>
              <w:jc w:val="center"/>
            </w:pPr>
            <w:r>
              <w:rPr>
                <w:b w:val="false"/>
                <w:bCs w:val="false"/>
                <w:color w:val="222222"/>
                <w:sz w:val="19"/>
                <w:szCs w:val="19"/>
              </w:rPr>
              <w:t xml:space="preserve">1,450 - 3,950</w:t>
            </w:r>
          </w:p>
        </w:tc>
        <w:tc>
          <w:tcPr>
            <w:tcW w:type="dxa" w:w="2050"/>
            <w:shd w:fill="FFFFFF" w:val="clear"/>
            <w:tcMar>
              <w:top w:type="dxa" w:w="60"/>
              <w:left w:type="dxa" w:w="100"/>
              <w:bottom w:type="dxa" w:w="60"/>
              <w:right w:type="dxa" w:w="100"/>
            </w:tcMar>
          </w:tcPr>
          <w:p>
            <w:pPr>
              <w:jc w:val="center"/>
            </w:pPr>
            <w:r>
              <w:rPr>
                <w:b w:val="false"/>
                <w:bCs w:val="false"/>
                <w:color w:val="222222"/>
                <w:sz w:val="19"/>
                <w:szCs w:val="19"/>
              </w:rPr>
              <w:t xml:space="preserve">-49.7% to +36.9%</w:t>
            </w:r>
          </w:p>
        </w:tc>
      </w:tr>
      <w:tr>
        <w:tc>
          <w:tcPr>
            <w:tcW w:type="dxa" w:w="4400"/>
            <w:shd w:fill="F2F2F2" w:val="clear"/>
            <w:tcMar>
              <w:top w:type="dxa" w:w="60"/>
              <w:left w:type="dxa" w:w="100"/>
              <w:bottom w:type="dxa" w:w="60"/>
              <w:right w:type="dxa" w:w="100"/>
            </w:tcMar>
          </w:tcPr>
          <w:p>
            <w:pPr>
              <w:jc w:val="left"/>
            </w:pPr>
            <w:r>
              <w:rPr>
                <w:b/>
                <w:bCs/>
                <w:color w:val="222222"/>
                <w:sz w:val="19"/>
                <w:szCs w:val="19"/>
              </w:rPr>
              <w:t xml:space="preserve">Comps — EV/EBITDA (Premier multiple)</w:t>
            </w:r>
          </w:p>
        </w:tc>
        <w:tc>
          <w:tcPr>
            <w:tcW w:type="dxa" w:w="2900"/>
            <w:shd w:fill="F2F2F2" w:val="clear"/>
            <w:tcMar>
              <w:top w:type="dxa" w:w="60"/>
              <w:left w:type="dxa" w:w="100"/>
              <w:bottom w:type="dxa" w:w="60"/>
              <w:right w:type="dxa" w:w="100"/>
            </w:tcMar>
          </w:tcPr>
          <w:p>
            <w:pPr>
              <w:jc w:val="center"/>
            </w:pPr>
            <w:r>
              <w:rPr>
                <w:b w:val="false"/>
                <w:bCs w:val="false"/>
                <w:color w:val="222222"/>
                <w:sz w:val="19"/>
                <w:szCs w:val="19"/>
              </w:rPr>
              <w:t xml:space="preserve">3,894</w:t>
            </w:r>
          </w:p>
        </w:tc>
        <w:tc>
          <w:tcPr>
            <w:tcW w:type="dxa" w:w="2050"/>
            <w:shd w:fill="F2F2F2" w:val="clear"/>
            <w:tcMar>
              <w:top w:type="dxa" w:w="60"/>
              <w:left w:type="dxa" w:w="100"/>
              <w:bottom w:type="dxa" w:w="60"/>
              <w:right w:type="dxa" w:w="100"/>
            </w:tcMar>
          </w:tcPr>
          <w:p>
            <w:pPr>
              <w:jc w:val="center"/>
            </w:pPr>
            <w:r>
              <w:rPr>
                <w:b w:val="false"/>
                <w:bCs w:val="false"/>
                <w:color w:val="222222"/>
                <w:sz w:val="19"/>
                <w:szCs w:val="19"/>
              </w:rPr>
              <w:t xml:space="preserve">+35.0%</w:t>
            </w:r>
          </w:p>
        </w:tc>
      </w:tr>
      <w:tr>
        <w:tc>
          <w:tcPr>
            <w:tcW w:type="dxa" w:w="4400"/>
            <w:shd w:fill="FFFFFF" w:val="clear"/>
            <w:tcMar>
              <w:top w:type="dxa" w:w="60"/>
              <w:left w:type="dxa" w:w="100"/>
              <w:bottom w:type="dxa" w:w="60"/>
              <w:right w:type="dxa" w:w="100"/>
            </w:tcMar>
          </w:tcPr>
          <w:p>
            <w:pPr>
              <w:jc w:val="left"/>
            </w:pPr>
            <w:r>
              <w:rPr>
                <w:b/>
                <w:bCs/>
                <w:color w:val="222222"/>
                <w:sz w:val="19"/>
                <w:szCs w:val="19"/>
              </w:rPr>
              <w:t xml:space="preserve">Comps — P/E (peer average)</w:t>
            </w:r>
          </w:p>
        </w:tc>
        <w:tc>
          <w:tcPr>
            <w:tcW w:type="dxa" w:w="2900"/>
            <w:shd w:fill="FFFFFF" w:val="clear"/>
            <w:tcMar>
              <w:top w:type="dxa" w:w="60"/>
              <w:left w:type="dxa" w:w="100"/>
              <w:bottom w:type="dxa" w:w="60"/>
              <w:right w:type="dxa" w:w="100"/>
            </w:tcMar>
          </w:tcPr>
          <w:p>
            <w:pPr>
              <w:jc w:val="center"/>
            </w:pPr>
            <w:r>
              <w:rPr>
                <w:b w:val="false"/>
                <w:bCs w:val="false"/>
                <w:color w:val="222222"/>
                <w:sz w:val="19"/>
                <w:szCs w:val="19"/>
              </w:rPr>
              <w:t xml:space="preserve">3,905</w:t>
            </w:r>
          </w:p>
        </w:tc>
        <w:tc>
          <w:tcPr>
            <w:tcW w:type="dxa" w:w="2050"/>
            <w:shd w:fill="FFFFFF" w:val="clear"/>
            <w:tcMar>
              <w:top w:type="dxa" w:w="60"/>
              <w:left w:type="dxa" w:w="100"/>
              <w:bottom w:type="dxa" w:w="60"/>
              <w:right w:type="dxa" w:w="100"/>
            </w:tcMar>
          </w:tcPr>
          <w:p>
            <w:pPr>
              <w:jc w:val="center"/>
            </w:pPr>
            <w:r>
              <w:rPr>
                <w:b w:val="false"/>
                <w:bCs w:val="false"/>
                <w:color w:val="222222"/>
                <w:sz w:val="19"/>
                <w:szCs w:val="19"/>
              </w:rPr>
              <w:t xml:space="preserve">+35.3%</w:t>
            </w:r>
          </w:p>
        </w:tc>
      </w:tr>
    </w:tbl>
    <w:p>
      <w:pPr>
        <w:spacing w:after="160" w:line="276"/>
      </w:pPr>
      <w:r>
        <w:rPr>
          <w:color w:val="222222"/>
          <w:sz w:val="21"/>
          <w:szCs w:val="21"/>
        </w:rPr>
        <w:t xml:space="preserve">Reading this table honestly rather than picking the answer one likes: the DCF base case, built on deliberately conservative (Part-I-evidenced) working-capital and margin-fade assumptions, suggests the market is pricing in more optimism than a cautious cash-flow model supports. The comps approach suggests the opposite — that Waaree is, if anything, cheap relative to its closest listed peers on both an earnings and EBITDA basis. Three explanations are plausible and worth stating rather than resolving artificially:</w:t>
      </w:r>
    </w:p>
    <w:p>
      <w:pPr>
        <w:pStyle w:val="ListParagraph"/>
        <w:numPr>
          <w:ilvl w:val="0"/>
          <w:numId w:val="1"/>
        </w:numPr>
        <w:spacing w:after="90" w:line="276"/>
      </w:pPr>
      <w:r>
        <w:rPr>
          <w:color w:val="222222"/>
          <w:sz w:val="21"/>
          <w:szCs w:val="21"/>
        </w:rPr>
        <w:t xml:space="preserve">The market may be right and this DCF is too conservative — if ALMM List-II margin expansion and working-capital normalization happen faster than assumed here, the DCF converges toward the optimistic-corner value (₹2,776, only 4% below CMP).</w:t>
      </w:r>
    </w:p>
    <w:p>
      <w:pPr>
        <w:pStyle w:val="ListParagraph"/>
        <w:numPr>
          <w:ilvl w:val="0"/>
          <w:numId w:val="1"/>
        </w:numPr>
        <w:spacing w:after="90" w:line="276"/>
      </w:pPr>
      <w:r>
        <w:rPr>
          <w:color w:val="222222"/>
          <w:sz w:val="21"/>
          <w:szCs w:val="21"/>
        </w:rPr>
        <w:t xml:space="preserve">Waaree may be trading at a scale-related multiple discount to smaller, higher-growth peers (Premier, Websol) precisely because its FY26 cash conversion deterioration (Part I, Section 3.3/4.3) is already partially priced in by the market — i.e., the market has independently reached a similar conclusion to this report's DCF caution, which is why Waaree's own current multiples (21-29x P/E, 14.4x EV/EBITDA) sit meaningfully below Premier's (30.8x, 20.2x).</w:t>
      </w:r>
    </w:p>
    <w:p>
      <w:pPr>
        <w:pStyle w:val="ListParagraph"/>
        <w:numPr>
          <w:ilvl w:val="0"/>
          <w:numId w:val="1"/>
        </w:numPr>
        <w:spacing w:after="90" w:line="276"/>
      </w:pPr>
      <w:r>
        <w:rPr>
          <w:color w:val="222222"/>
          <w:sz w:val="21"/>
          <w:szCs w:val="21"/>
        </w:rPr>
        <w:t xml:space="preserve">The peer comps themselves may be overvalued (Vikram Solar's 68-72x IPO-era P/E is an extreme data point suggesting genuine sector-wide multiple froth in 2025), in which case anchoring Waaree's value to those peers overstates it too.</w:t>
      </w:r>
    </w:p>
    <w:p>
      <w:pPr>
        <w:spacing w:after="160" w:line="276"/>
      </w:pPr>
      <w:r>
        <w:rPr>
          <w:color w:val="222222"/>
          <w:sz w:val="21"/>
          <w:szCs w:val="21"/>
        </w:rPr>
        <w:t xml:space="preserve">An institutional analyst's job at this point is not to force a single number but to state which explanation they find most defensible and why, then set explicit triggers to revisit the view (e.g., FY27 Q1-Q2 cash conversion cycle data, actual cell-capacity ramp progress against the 2.3 GW FY26 base, and confirmation of the US customs matter's resolution). Part III's formal written research report will take an explicit position and price target; this document intentionally preserves the full analytical tension so the modeling logic remains transparent and auditable.</w:t>
      </w:r>
    </w:p>
    <w:p>
      <w:pPr>
        <w:pStyle w:val="Heading1"/>
        <w:spacing w:after="200" w:before="400"/>
      </w:pPr>
      <w:r>
        <w:t xml:space="preserve">5. Key Assumptions, Limitations, and What to Refine in Part III</w:t>
      </w:r>
    </w:p>
    <w:p>
      <w:pPr>
        <w:pStyle w:val="ListParagraph"/>
        <w:numPr>
          <w:ilvl w:val="0"/>
          <w:numId w:val="1"/>
        </w:numPr>
        <w:spacing w:after="90" w:line="276"/>
      </w:pPr>
      <w:r>
        <w:rPr>
          <w:color w:val="222222"/>
          <w:sz w:val="21"/>
          <w:szCs w:val="21"/>
        </w:rPr>
        <w:t xml:space="preserve">Net debt uses an approximated cash/investments figure (₹953 Cr, from Part I's Balance Sheet 'Investments' line) rather than a precise cash-and-cash-equivalents figure pulled from the FY26 annual report's detailed schedule — refine this first, as it directly moves both DCF and comps equity value.</w:t>
      </w:r>
    </w:p>
    <w:p>
      <w:pPr>
        <w:pStyle w:val="ListParagraph"/>
        <w:numPr>
          <w:ilvl w:val="0"/>
          <w:numId w:val="1"/>
        </w:numPr>
        <w:spacing w:after="90" w:line="276"/>
      </w:pPr>
      <w:r>
        <w:rPr>
          <w:color w:val="222222"/>
          <w:sz w:val="21"/>
          <w:szCs w:val="21"/>
        </w:rPr>
        <w:t xml:space="preserve">Shares outstanding (30.1 Cr) is derived algebraically from FY26 PAT ÷ reported EPS rather than pulled directly from the FY26 annual report's face of the shareholding schedule — should be cross-checked, particularly given the pending ₹10,000 Cr QIP (Part I, Section 2.6), which will dilute share count once executed and is NOT reflected in this valuation.</w:t>
      </w:r>
    </w:p>
    <w:p>
      <w:pPr>
        <w:pStyle w:val="ListParagraph"/>
        <w:numPr>
          <w:ilvl w:val="0"/>
          <w:numId w:val="1"/>
        </w:numPr>
        <w:spacing w:after="90" w:line="276"/>
      </w:pPr>
      <w:r>
        <w:rPr>
          <w:color w:val="222222"/>
          <w:sz w:val="21"/>
          <w:szCs w:val="21"/>
        </w:rPr>
        <w:t xml:space="preserve">Equity Risk Premium (7.0%) and beta (1.05) are the two most subjective inputs in the WACC build — reasonable analysts could defensibly use ERP anywhere from 6.0% to 7.5% for India and beta anywhere from 0.9 to 1.2 given Waaree's short trading history; the sensitivity table in Section 2.4 is the honest way to communicate this uncertainty rather than a false-precision single WACC.</w:t>
      </w:r>
    </w:p>
    <w:p>
      <w:pPr>
        <w:pStyle w:val="ListParagraph"/>
        <w:numPr>
          <w:ilvl w:val="0"/>
          <w:numId w:val="1"/>
        </w:numPr>
        <w:spacing w:after="90" w:line="276"/>
      </w:pPr>
      <w:r>
        <w:rPr>
          <w:color w:val="222222"/>
          <w:sz w:val="21"/>
          <w:szCs w:val="21"/>
        </w:rPr>
        <w:t xml:space="preserve">Peer comps (Section 3) mix data vintages (Aug 2025 for Vikram/Websol P/B and Vikram/Premier P/E context vs. July 2026 for Premier's current multiples) — Part III should pull a fully time-consistent peer snapshot, ideally same trading day, before this feeds a live recommendation.</w:t>
      </w:r>
    </w:p>
    <w:p>
      <w:pPr>
        <w:pStyle w:val="ListParagraph"/>
        <w:numPr>
          <w:ilvl w:val="0"/>
          <w:numId w:val="1"/>
        </w:numPr>
        <w:spacing w:after="90" w:line="276"/>
      </w:pPr>
      <w:r>
        <w:rPr>
          <w:color w:val="222222"/>
          <w:sz w:val="21"/>
          <w:szCs w:val="21"/>
        </w:rPr>
        <w:t xml:space="preserve">No precedent-transactions analysis is included — India's listed solar M&amp;A transaction set is thin (most capacity has been built organically or via PLI-linked greenfield investment rather than acquisition), so this is a genuine data-availability limitation rather than an oversight, and will be noted as such rather than force-fit in Part III.</w:t>
      </w:r>
    </w:p>
    <w:p>
      <w:pPr>
        <w:pStyle w:val="ListParagraph"/>
        <w:numPr>
          <w:ilvl w:val="0"/>
          <w:numId w:val="1"/>
        </w:numPr>
        <w:spacing w:after="90" w:line="276"/>
      </w:pPr>
      <w:r>
        <w:rPr>
          <w:color w:val="222222"/>
          <w:sz w:val="21"/>
          <w:szCs w:val="21"/>
        </w:rPr>
        <w:t xml:space="preserve">The DCF forecast is a 5-year explicit window with a single Gordon Growth terminal value; Part III's Excel model will additionally build a mid-year discounting convention toggle and an exit-multiple terminal value cross-check, both standard robustness checks omitted here for narrative clarity.</w:t>
      </w:r>
    </w:p>
    <w:p>
      <w:pPr>
        <w:pStyle w:val="Heading1"/>
        <w:spacing w:after="200" w:before="400"/>
      </w:pPr>
      <w:r>
        <w:t xml:space="preserve">6. What Comes Next</w:t>
      </w:r>
    </w:p>
    <w:p>
      <w:pPr>
        <w:spacing w:after="160" w:line="276"/>
      </w:pPr>
      <w:r>
        <w:rPr>
          <w:color w:val="222222"/>
          <w:sz w:val="21"/>
          <w:szCs w:val="21"/>
        </w:rPr>
        <w:t xml:space="preserve">Part III of this research package will translate the assumptions and formulas in this document into a fully dynamic, auditable three-statement Excel model — historicals wired from Part I, forecast assumptions as editable input cells (not hard-coded), integrated debt/depreciation/working-capital schedules, error checks, and a live scenario/sensitivity toggle reproducing the tables in Sections 2.4 and 4 of this document as formulas rather than static numbers. After the Excel model: Python analytics (returns, volatility, beta re-estimation, Monte Carlo on the DCF), the SQL database, the Power BI dashboard, and the formal written research report with a final price target and recommendation.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Waaree Energies Limited — Institutional Equity Research, Part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4"/>
      </w:pBdr>
      <w:spacing w:after="200" w:before="400"/>
    </w:pPr>
    <w:rPr>
      <w:rFonts w:ascii="Calibri" w:cs="Calibri" w:eastAsia="Calibri" w:hAnsi="Calibri"/>
      <w:b/>
      <w:bCs/>
      <w:color w:val="1F2A44"/>
      <w:sz w:val="30"/>
      <w:szCs w:val="30"/>
    </w:rPr>
  </w:style>
  <w:style w:type="paragraph" w:styleId="Heading2">
    <w:name w:val="Heading 2"/>
    <w:basedOn w:val="Normal"/>
    <w:next w:val="Normal"/>
    <w:qFormat/>
    <w:pPr>
      <w:spacing w:after="150" w:before="300"/>
    </w:pPr>
    <w:rPr>
      <w:rFonts w:ascii="Calibri" w:cs="Calibri" w:eastAsia="Calibri" w:hAnsi="Calibri"/>
      <w:b/>
      <w:bCs/>
      <w:color w:val="1F2A44"/>
      <w:sz w:val="25"/>
      <w:szCs w:val="25"/>
    </w:rPr>
  </w:style>
  <w:style w:type="paragraph" w:styleId="Heading3">
    <w:name w:val="Heading 3"/>
    <w:basedOn w:val="Normal"/>
    <w:next w:val="Normal"/>
    <w:qFormat/>
    <w:pPr>
      <w:spacing w:after="100" w:before="200"/>
    </w:pPr>
    <w:rPr>
      <w:rFonts w:ascii="Calibri" w:cs="Calibri" w:eastAsia="Calibri" w:hAnsi="Calibri"/>
      <w:b/>
      <w:bCs/>
      <w:i/>
      <w:iCs/>
      <w:color w:val="B08D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2026-07-13T01:53:41.588Z</dcterms:created>
  <dcterms:modified xsi:type="dcterms:W3CDTF">2026-07-13T01:53:41.606Z</dcterms:modified>
</cp:coreProperties>
</file>

<file path=docProps/custom.xml><?xml version="1.0" encoding="utf-8"?>
<Properties xmlns="http://schemas.openxmlformats.org/officeDocument/2006/custom-properties" xmlns:vt="http://schemas.openxmlformats.org/officeDocument/2006/docPropsVTypes"/>
</file>