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b/>
          <w:bCs/>
          <w:color w:val="B08D57"/>
          <w:spacing w:val="15"/>
          <w:sz w:val="24"/>
          <w:szCs w:val="24"/>
        </w:rPr>
        <w:t xml:space="preserve">EQUITY RESEARCH — INITIATING COVERAGE</w:t>
      </w:r>
    </w:p>
    <w:p>
      <w:pPr>
        <w:spacing w:after="200" w:before="200"/>
        <w:jc w:val="center"/>
      </w:pPr>
      <w:r>
        <w:rPr>
          <w:b/>
          <w:bCs/>
          <w:color w:val="1F2A44"/>
          <w:sz w:val="52"/>
          <w:szCs w:val="52"/>
        </w:rPr>
        <w:t xml:space="preserve">Waaree Energies Limited</w:t>
      </w:r>
    </w:p>
    <w:p>
      <w:pPr>
        <w:spacing w:after="300"/>
        <w:jc w:val="center"/>
      </w:pPr>
      <w:r>
        <w:rPr>
          <w:i/>
          <w:iCs/>
          <w:color w:val="222222"/>
          <w:sz w:val="22"/>
          <w:szCs w:val="22"/>
        </w:rPr>
        <w:t xml:space="preserve">India's Largest Solar Module Manufacturer, Priced For a Perfect Transition</w:t>
      </w:r>
    </w:p>
    <w:tbl>
      <w:tblPr>
        <w:tblW w:type="dxa" w:w="9350"/>
        <w:tblBorders>
          <w:top w:val="single" w:color="1F2A44" w:sz="6"/>
          <w:left w:val="single" w:color="1F2A44" w:sz="6"/>
          <w:bottom w:val="single" w:color="1F2A44" w:sz="6"/>
          <w:right w:val="single" w:color="1F2A44" w:sz="6"/>
          <w:insideH w:val="single" w:color="D9D9D9" w:sz="3"/>
          <w:insideV w:val="single" w:color="D9D9D9" w:sz="3"/>
        </w:tblBorders>
      </w:tblPr>
      <w:tblGrid>
        <w:gridCol w:w="2200"/>
        <w:gridCol w:w="3050"/>
        <w:gridCol w:w="2200"/>
        <w:gridCol w:w="1900"/>
      </w:tblGrid>
      <w:tr>
        <w:tc>
          <w:tcPr>
            <w:tcW w:type="dxa" w:w="2200"/>
            <w:shd w:fill="1F2A44" w:val="clear"/>
            <w:tcMar>
              <w:top w:type="dxa" w:w="60"/>
              <w:left w:type="dxa" w:w="100"/>
              <w:bottom w:type="dxa" w:w="60"/>
              <w:right w:type="dxa" w:w="100"/>
            </w:tcMar>
          </w:tcPr>
          <w:p>
            <w:pPr>
              <w:jc w:val="left"/>
            </w:pPr>
            <w:r>
              <w:rPr>
                <w:b/>
                <w:bCs/>
                <w:color w:val="FFFFFF"/>
                <w:sz w:val="19"/>
                <w:szCs w:val="19"/>
              </w:rPr>
              <w:t xml:space="preserve">Rating</w:t>
            </w:r>
          </w:p>
        </w:tc>
        <w:tc>
          <w:tcPr>
            <w:tcW w:type="dxa" w:w="3050"/>
            <w:shd w:fill="FBF3E7" w:val="clear"/>
            <w:tcMar>
              <w:top w:type="dxa" w:w="60"/>
              <w:left w:type="dxa" w:w="100"/>
              <w:bottom w:type="dxa" w:w="60"/>
              <w:right w:type="dxa" w:w="100"/>
            </w:tcMar>
          </w:tcPr>
          <w:p>
            <w:pPr>
              <w:jc w:val="left"/>
            </w:pPr>
            <w:r>
              <w:rPr>
                <w:b/>
                <w:bCs/>
                <w:color w:val="8A6D1F"/>
                <w:sz w:val="24"/>
                <w:szCs w:val="24"/>
              </w:rPr>
              <w:t xml:space="preserve">HOLD (Neutral)</w:t>
            </w:r>
          </w:p>
        </w:tc>
        <w:tc>
          <w:tcPr>
            <w:tcW w:type="dxa" w:w="2200"/>
            <w:shd w:fill="1F2A44" w:val="clear"/>
            <w:tcMar>
              <w:top w:type="dxa" w:w="60"/>
              <w:left w:type="dxa" w:w="100"/>
              <w:bottom w:type="dxa" w:w="60"/>
              <w:right w:type="dxa" w:w="100"/>
            </w:tcMar>
          </w:tcPr>
          <w:p>
            <w:pPr>
              <w:jc w:val="left"/>
            </w:pPr>
            <w:r>
              <w:rPr>
                <w:b/>
                <w:bCs/>
                <w:color w:val="FFFFFF"/>
                <w:sz w:val="19"/>
                <w:szCs w:val="19"/>
              </w:rPr>
              <w:t xml:space="preserve">CMP (30-Jun-2026)</w:t>
            </w:r>
          </w:p>
        </w:tc>
        <w:tc>
          <w:tcPr>
            <w:tcW w:type="dxa" w:w="1900"/>
            <w:tcMar>
              <w:top w:type="dxa" w:w="60"/>
              <w:left w:type="dxa" w:w="100"/>
              <w:bottom w:type="dxa" w:w="60"/>
              <w:right w:type="dxa" w:w="100"/>
            </w:tcMar>
          </w:tcPr>
          <w:p>
            <w:pPr>
              <w:jc w:val="left"/>
            </w:pPr>
            <w:r>
              <w:rPr>
                <w:b/>
                <w:bCs/>
                <w:color w:val="222222"/>
                <w:sz w:val="22"/>
                <w:szCs w:val="22"/>
              </w:rPr>
              <w:t xml:space="preserve">₹2,886</w:t>
            </w:r>
          </w:p>
        </w:tc>
      </w:tr>
      <w:tr>
        <w:tc>
          <w:tcPr>
            <w:tcW w:type="dxa" w:w="2200"/>
            <w:shd w:fill="1F2A44" w:val="clear"/>
            <w:tcMar>
              <w:top w:type="dxa" w:w="60"/>
              <w:left w:type="dxa" w:w="100"/>
              <w:bottom w:type="dxa" w:w="60"/>
              <w:right w:type="dxa" w:w="100"/>
            </w:tcMar>
          </w:tcPr>
          <w:p>
            <w:pPr>
              <w:jc w:val="left"/>
            </w:pPr>
            <w:r>
              <w:rPr>
                <w:b/>
                <w:bCs/>
                <w:color w:val="FFFFFF"/>
                <w:sz w:val="19"/>
                <w:szCs w:val="19"/>
              </w:rPr>
              <w:t xml:space="preserve">12-Month Target Price</w:t>
            </w:r>
          </w:p>
        </w:tc>
        <w:tc>
          <w:tcPr>
            <w:tcW w:type="dxa" w:w="3050"/>
            <w:shd w:fill="FBF3E7" w:val="clear"/>
            <w:tcMar>
              <w:top w:type="dxa" w:w="60"/>
              <w:left w:type="dxa" w:w="100"/>
              <w:bottom w:type="dxa" w:w="60"/>
              <w:right w:type="dxa" w:w="100"/>
            </w:tcMar>
          </w:tcPr>
          <w:p>
            <w:pPr>
              <w:jc w:val="left"/>
            </w:pPr>
            <w:r>
              <w:rPr>
                <w:b/>
                <w:bCs/>
                <w:color w:val="8A6D1F"/>
                <w:sz w:val="24"/>
                <w:szCs w:val="24"/>
              </w:rPr>
              <w:t xml:space="preserve">₹2,760</w:t>
            </w:r>
          </w:p>
        </w:tc>
        <w:tc>
          <w:tcPr>
            <w:tcW w:type="dxa" w:w="2200"/>
            <w:shd w:fill="1F2A44" w:val="clear"/>
            <w:tcMar>
              <w:top w:type="dxa" w:w="60"/>
              <w:left w:type="dxa" w:w="100"/>
              <w:bottom w:type="dxa" w:w="60"/>
              <w:right w:type="dxa" w:w="100"/>
            </w:tcMar>
          </w:tcPr>
          <w:p>
            <w:pPr>
              <w:jc w:val="left"/>
            </w:pPr>
            <w:r>
              <w:rPr>
                <w:b/>
                <w:bCs/>
                <w:color w:val="FFFFFF"/>
                <w:sz w:val="19"/>
                <w:szCs w:val="19"/>
              </w:rPr>
              <w:t xml:space="preserve">Upside / (Downside)</w:t>
            </w:r>
          </w:p>
        </w:tc>
        <w:tc>
          <w:tcPr>
            <w:tcW w:type="dxa" w:w="1900"/>
            <w:tcMar>
              <w:top w:type="dxa" w:w="60"/>
              <w:left w:type="dxa" w:w="100"/>
              <w:bottom w:type="dxa" w:w="60"/>
              <w:right w:type="dxa" w:w="100"/>
            </w:tcMar>
          </w:tcPr>
          <w:p>
            <w:pPr>
              <w:jc w:val="left"/>
            </w:pPr>
            <w:r>
              <w:rPr>
                <w:b/>
                <w:bCs/>
                <w:color w:val="A32424"/>
                <w:sz w:val="22"/>
                <w:szCs w:val="22"/>
              </w:rPr>
              <w:t xml:space="preserve">(4.4%)</w:t>
            </w:r>
          </w:p>
        </w:tc>
      </w:tr>
      <w:tr>
        <w:tc>
          <w:tcPr>
            <w:tcW w:type="dxa" w:w="2200"/>
            <w:shd w:fill="1F2A44" w:val="clear"/>
            <w:tcMar>
              <w:top w:type="dxa" w:w="60"/>
              <w:left w:type="dxa" w:w="100"/>
              <w:bottom w:type="dxa" w:w="60"/>
              <w:right w:type="dxa" w:w="100"/>
            </w:tcMar>
          </w:tcPr>
          <w:p>
            <w:pPr>
              <w:jc w:val="left"/>
            </w:pPr>
            <w:r>
              <w:rPr>
                <w:b/>
                <w:bCs/>
                <w:color w:val="FFFFFF"/>
                <w:sz w:val="19"/>
                <w:szCs w:val="19"/>
              </w:rPr>
              <w:t xml:space="preserve">Market Cap</w:t>
            </w:r>
          </w:p>
        </w:tc>
        <w:tc>
          <w:tcPr>
            <w:tcW w:type="dxa" w:w="3050"/>
            <w:tcMar>
              <w:top w:type="dxa" w:w="60"/>
              <w:left w:type="dxa" w:w="100"/>
              <w:bottom w:type="dxa" w:w="60"/>
              <w:right w:type="dxa" w:w="100"/>
            </w:tcMar>
          </w:tcPr>
          <w:p>
            <w:pPr>
              <w:jc w:val="left"/>
            </w:pPr>
            <w:r>
              <w:rPr>
                <w:b w:val="false"/>
                <w:bCs w:val="false"/>
                <w:color w:val="222222"/>
                <w:sz w:val="19"/>
                <w:szCs w:val="19"/>
              </w:rPr>
              <w:t xml:space="preserve">₹83,000 Cr (~US$9.7bn)</w:t>
            </w:r>
          </w:p>
        </w:tc>
        <w:tc>
          <w:tcPr>
            <w:tcW w:type="dxa" w:w="2200"/>
            <w:shd w:fill="1F2A44" w:val="clear"/>
            <w:tcMar>
              <w:top w:type="dxa" w:w="60"/>
              <w:left w:type="dxa" w:w="100"/>
              <w:bottom w:type="dxa" w:w="60"/>
              <w:right w:type="dxa" w:w="100"/>
            </w:tcMar>
          </w:tcPr>
          <w:p>
            <w:pPr>
              <w:jc w:val="left"/>
            </w:pPr>
            <w:r>
              <w:rPr>
                <w:b/>
                <w:bCs/>
                <w:color w:val="FFFFFF"/>
                <w:sz w:val="19"/>
                <w:szCs w:val="19"/>
              </w:rPr>
              <w:t xml:space="preserve">52-Week Range</w:t>
            </w:r>
          </w:p>
        </w:tc>
        <w:tc>
          <w:tcPr>
            <w:tcW w:type="dxa" w:w="1900"/>
            <w:tcMar>
              <w:top w:type="dxa" w:w="60"/>
              <w:left w:type="dxa" w:w="100"/>
              <w:bottom w:type="dxa" w:w="60"/>
              <w:right w:type="dxa" w:w="100"/>
            </w:tcMar>
          </w:tcPr>
          <w:p>
            <w:pPr>
              <w:jc w:val="left"/>
            </w:pPr>
            <w:r>
              <w:rPr>
                <w:b w:val="false"/>
                <w:bCs w:val="false"/>
                <w:color w:val="222222"/>
                <w:sz w:val="19"/>
                <w:szCs w:val="19"/>
              </w:rPr>
              <w:t xml:space="preserve">₹2,402 – ₹3,865</w:t>
            </w:r>
          </w:p>
        </w:tc>
      </w:tr>
      <w:tr>
        <w:tc>
          <w:tcPr>
            <w:tcW w:type="dxa" w:w="2200"/>
            <w:shd w:fill="1F2A44" w:val="clear"/>
            <w:tcMar>
              <w:top w:type="dxa" w:w="60"/>
              <w:left w:type="dxa" w:w="100"/>
              <w:bottom w:type="dxa" w:w="60"/>
              <w:right w:type="dxa" w:w="100"/>
            </w:tcMar>
          </w:tcPr>
          <w:p>
            <w:pPr>
              <w:jc w:val="left"/>
            </w:pPr>
            <w:r>
              <w:rPr>
                <w:b/>
                <w:bCs/>
                <w:color w:val="FFFFFF"/>
                <w:sz w:val="19"/>
                <w:szCs w:val="19"/>
              </w:rPr>
              <w:t xml:space="preserve">Sector</w:t>
            </w:r>
          </w:p>
        </w:tc>
        <w:tc>
          <w:tcPr>
            <w:tcW w:type="dxa" w:w="3050"/>
            <w:tcMar>
              <w:top w:type="dxa" w:w="60"/>
              <w:left w:type="dxa" w:w="100"/>
              <w:bottom w:type="dxa" w:w="60"/>
              <w:right w:type="dxa" w:w="100"/>
            </w:tcMar>
          </w:tcPr>
          <w:p>
            <w:pPr>
              <w:jc w:val="left"/>
            </w:pPr>
            <w:r>
              <w:rPr>
                <w:b w:val="false"/>
                <w:bCs w:val="false"/>
                <w:color w:val="222222"/>
                <w:sz w:val="19"/>
                <w:szCs w:val="19"/>
              </w:rPr>
              <w:t xml:space="preserve">Capital Goods — Solar PV Manufacturing</w:t>
            </w:r>
          </w:p>
        </w:tc>
        <w:tc>
          <w:tcPr>
            <w:tcW w:type="dxa" w:w="2200"/>
            <w:shd w:fill="1F2A44" w:val="clear"/>
            <w:tcMar>
              <w:top w:type="dxa" w:w="60"/>
              <w:left w:type="dxa" w:w="100"/>
              <w:bottom w:type="dxa" w:w="60"/>
              <w:right w:type="dxa" w:w="100"/>
            </w:tcMar>
          </w:tcPr>
          <w:p>
            <w:pPr>
              <w:jc w:val="left"/>
            </w:pPr>
            <w:r>
              <w:rPr>
                <w:b/>
                <w:bCs/>
                <w:color w:val="FFFFFF"/>
                <w:sz w:val="19"/>
                <w:szCs w:val="19"/>
              </w:rPr>
              <w:t xml:space="preserve">NSE / BSE</w:t>
            </w:r>
          </w:p>
        </w:tc>
        <w:tc>
          <w:tcPr>
            <w:tcW w:type="dxa" w:w="1900"/>
            <w:tcMar>
              <w:top w:type="dxa" w:w="60"/>
              <w:left w:type="dxa" w:w="100"/>
              <w:bottom w:type="dxa" w:w="60"/>
              <w:right w:type="dxa" w:w="100"/>
            </w:tcMar>
          </w:tcPr>
          <w:p>
            <w:pPr>
              <w:jc w:val="left"/>
            </w:pPr>
            <w:r>
              <w:rPr>
                <w:b w:val="false"/>
                <w:bCs w:val="false"/>
                <w:color w:val="222222"/>
                <w:sz w:val="19"/>
                <w:szCs w:val="19"/>
              </w:rPr>
              <w:t xml:space="preserve">WAAREEENER / 544277</w:t>
            </w:r>
          </w:p>
        </w:tc>
      </w:tr>
    </w:tbl>
    <w:p>
      <w:pPr>
        <w:spacing w:before="300"/>
      </w:pPr>
      <w:r>
        <w:rPr>
          <w:sz w:val="4"/>
          <w:szCs w:val="4"/>
        </w:rPr>
        <w:t xml:space="preserve"/>
      </w:r>
    </w:p>
    <w:p>
      <w:r>
        <w:br w:type="page"/>
      </w:r>
    </w:p>
    <w:p>
      <w:pPr>
        <w:pStyle w:val="Heading1"/>
        <w:spacing w:after="190" w:before="380"/>
      </w:pPr>
      <w:r>
        <w:t xml:space="preserve">Investment Thesis</w:t>
      </w:r>
    </w:p>
    <w:p>
      <w:pPr>
        <w:spacing w:after="150" w:line="270"/>
      </w:pPr>
      <w:r>
        <w:rPr>
          <w:color w:val="222222"/>
          <w:sz w:val="21"/>
          <w:szCs w:val="21"/>
        </w:rPr>
        <w:t xml:space="preserve">Waaree Energies is the largest non-Chinese solar PV module manufacturer globally and the clear scale leader in India's fastest-growing capital-goods sub-sector, riding a genuinely structural policy tailwind (ALMM, PLI, Basic Customs Duty) into a 500 GW-by-2030 national target. The FY26 numbers are, on their face, exceptional: 84% revenue growth, 101% net profit growth, and EBITDA margin expansion from 5% (FY20) to 22% (FY26).</w:t>
      </w:r>
    </w:p>
    <w:p>
      <w:pPr>
        <w:spacing w:after="150" w:line="270"/>
      </w:pPr>
      <w:r>
        <w:rPr>
          <w:color w:val="222222"/>
          <w:sz w:val="21"/>
          <w:szCs w:val="21"/>
        </w:rPr>
        <w:t xml:space="preserve">But two independent valuation lenses built in this coverage disagree sharply on what that growth is worth today, and reconciling that disagreement — rather than picking whichever number is more convenient — is the actual output of this report. A bottom-up DCF, built on deliberately conservative and evidence-based forecast assumptions, values the stock 26% below the current market price, driven chiefly by a real and disclosed deterioration in cash conversion (CFO/EBITDA fell from 143% to 47% in FY26, and free cash flow turned sharply negative). A relative-value comps approach, anchored to Premier Energies' and Websol's current trading multiples, values the stock 35% above the current price. A 20,000-path Monte Carlo simulation built around the DCF's own uncertainty puts only an ~11% probability on the intrinsic value exceeding today's price.</w:t>
      </w:r>
    </w:p>
    <w:p>
      <w:pPr>
        <w:spacing w:after="150" w:line="270"/>
      </w:pPr>
      <w:r>
        <w:rPr>
          <w:color w:val="222222"/>
          <w:sz w:val="21"/>
          <w:szCs w:val="21"/>
        </w:rPr>
        <w:t xml:space="preserve">Weighting the DCF more heavily — because the FY26 cash-conversion deterioration is Waaree-specific, already disclosed, and not obviously priced into peer multiples that themselves may reflect sector-wide optimism about the June 2026 ALMM List-II transition — this report arrives at a blended 12-month target of ₹2,760/share, essentially in line with today's price. We initiate coverage with a HOLD (Neutral) rating: the long-term industry and company-scale story is genuinely investable, but at the current price the market is already paying for a smooth execution of the FY27-FY28 cell-integration capex cycle that the FY26 numbers do not yet confirm.</w:t>
      </w:r>
    </w:p>
    <w:p>
      <w:pPr>
        <w:pStyle w:val="Heading1"/>
        <w:spacing w:after="190" w:before="380"/>
      </w:pPr>
      <w:r>
        <w:t xml:space="preserve">Company Overview</w:t>
      </w:r>
    </w:p>
    <w:p>
      <w:pPr>
        <w:spacing w:after="150" w:line="270"/>
      </w:pPr>
      <w:r>
        <w:rPr>
          <w:color w:val="222222"/>
          <w:sz w:val="21"/>
          <w:szCs w:val="21"/>
        </w:rPr>
        <w:t xml:space="preserve">Waaree Energies Limited (NSE: WAAREEENER), incorporated in 1990 and headquartered in Mumbai, listed on the NSE/BSE in October 2024 after a ~₹3,600 Cr fresh-issue IPO. It operates three reportable segments — Solar PV Module Manufacturing (the core business), EPC &amp; O&amp;M Solutions, and Independent Power Producer (IPP) — with module manufacturing capacity that has scaled from roughly 9 GW to 15 GW across five Gujarat-based facilities, alongside an emerging 2.3 GW cell-manufacturing base and a nascent U.S. manufacturing presence (Waaree Solar Americas).</w:t>
      </w:r>
    </w:p>
    <w:p>
      <w:pPr>
        <w:spacing w:after="150" w:line="270"/>
      </w:pPr>
      <w:r>
        <w:rPr>
          <w:color w:val="222222"/>
          <w:sz w:val="21"/>
          <w:szCs w:val="21"/>
        </w:rPr>
        <w:t xml:space="preserve">Promoter Hitesh Doshi (Chairman &amp; Managing Director) and family hold 64.2% of the company as of March 2026, down only modestly from 64.3% a year earlier, while institutional ownership has risen sharply — FII holding grew from 0.7% to 7.1% and DII holding from 2.5% to 4.3% over FY26 — evidence of broadening institutional comfort with the stock post-listing. The company has diversified in 2025-2026 into BESS, green hydrogen electrolyzers, and transformers via the Kotsons and Racemosa acquisitions and the pending Waaree Semicon deal, funded by a ₹10,000 Cr QIP approval alongside rising debt (borrowings up nearly 6x from FY24 to FY26).</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3350"/>
        <w:gridCol w:w="2000"/>
        <w:gridCol w:w="2000"/>
        <w:gridCol w:w="2000"/>
      </w:tblGrid>
      <w:tr>
        <w:trPr>
          <w:tblHeader/>
        </w:trPr>
        <w:tc>
          <w:tcPr>
            <w:tcW w:type="dxa" w:w="3350"/>
            <w:shd w:fill="1F2A44" w:val="clear"/>
            <w:tcMar>
              <w:top w:type="dxa" w:w="60"/>
              <w:left w:type="dxa" w:w="100"/>
              <w:bottom w:type="dxa" w:w="60"/>
              <w:right w:type="dxa" w:w="100"/>
            </w:tcMar>
          </w:tcPr>
          <w:p>
            <w:pPr>
              <w:jc w:val="left"/>
            </w:pPr>
            <w:r>
              <w:rPr>
                <w:b/>
                <w:bCs/>
                <w:color w:val="FFFFFF"/>
                <w:sz w:val="19"/>
                <w:szCs w:val="19"/>
              </w:rPr>
              <w:t xml:space="preserve">Metric</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FY24</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FY25</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FY26</w:t>
            </w:r>
          </w:p>
        </w:tc>
      </w:tr>
      <w:tr>
        <w:tc>
          <w:tcPr>
            <w:tcW w:type="dxa" w:w="3350"/>
            <w:shd w:fill="FFFFFF" w:val="clear"/>
            <w:tcMar>
              <w:top w:type="dxa" w:w="60"/>
              <w:left w:type="dxa" w:w="100"/>
              <w:bottom w:type="dxa" w:w="60"/>
              <w:right w:type="dxa" w:w="100"/>
            </w:tcMar>
          </w:tcPr>
          <w:p>
            <w:pPr>
              <w:jc w:val="left"/>
            </w:pPr>
            <w:r>
              <w:rPr>
                <w:b/>
                <w:bCs/>
                <w:color w:val="222222"/>
                <w:sz w:val="19"/>
                <w:szCs w:val="19"/>
              </w:rPr>
              <w:t xml:space="preserve">Revenue (₹ Cr)</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11,398</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14,444</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26,537</w:t>
            </w:r>
          </w:p>
        </w:tc>
      </w:tr>
      <w:tr>
        <w:tc>
          <w:tcPr>
            <w:tcW w:type="dxa" w:w="3350"/>
            <w:shd w:fill="F2F2F2" w:val="clear"/>
            <w:tcMar>
              <w:top w:type="dxa" w:w="60"/>
              <w:left w:type="dxa" w:w="100"/>
              <w:bottom w:type="dxa" w:w="60"/>
              <w:right w:type="dxa" w:w="100"/>
            </w:tcMar>
          </w:tcPr>
          <w:p>
            <w:pPr>
              <w:jc w:val="left"/>
            </w:pPr>
            <w:r>
              <w:rPr>
                <w:b/>
                <w:bCs/>
                <w:color w:val="222222"/>
                <w:sz w:val="19"/>
                <w:szCs w:val="19"/>
              </w:rPr>
              <w:t xml:space="preserve">EBITDA Margin</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13.8%</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18.8%</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22.3%</w:t>
            </w:r>
          </w:p>
        </w:tc>
      </w:tr>
      <w:tr>
        <w:tc>
          <w:tcPr>
            <w:tcW w:type="dxa" w:w="3350"/>
            <w:shd w:fill="FFFFFF" w:val="clear"/>
            <w:tcMar>
              <w:top w:type="dxa" w:w="60"/>
              <w:left w:type="dxa" w:w="100"/>
              <w:bottom w:type="dxa" w:w="60"/>
              <w:right w:type="dxa" w:w="100"/>
            </w:tcMar>
          </w:tcPr>
          <w:p>
            <w:pPr>
              <w:jc w:val="left"/>
            </w:pPr>
            <w:r>
              <w:rPr>
                <w:b/>
                <w:bCs/>
                <w:color w:val="222222"/>
                <w:sz w:val="19"/>
                <w:szCs w:val="19"/>
              </w:rPr>
              <w:t xml:space="preserve">Net Profit (₹ Cr)</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1,274</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1,928</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3,884</w:t>
            </w:r>
          </w:p>
        </w:tc>
      </w:tr>
      <w:tr>
        <w:tc>
          <w:tcPr>
            <w:tcW w:type="dxa" w:w="3350"/>
            <w:shd w:fill="F2F2F2" w:val="clear"/>
            <w:tcMar>
              <w:top w:type="dxa" w:w="60"/>
              <w:left w:type="dxa" w:w="100"/>
              <w:bottom w:type="dxa" w:w="60"/>
              <w:right w:type="dxa" w:w="100"/>
            </w:tcMar>
          </w:tcPr>
          <w:p>
            <w:pPr>
              <w:jc w:val="left"/>
            </w:pPr>
            <w:r>
              <w:rPr>
                <w:b/>
                <w:bCs/>
                <w:color w:val="222222"/>
                <w:sz w:val="19"/>
                <w:szCs w:val="19"/>
              </w:rPr>
              <w:t xml:space="preserve">EPS (₹)</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62.76</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65.00</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129.02</w:t>
            </w:r>
          </w:p>
        </w:tc>
      </w:tr>
      <w:tr>
        <w:tc>
          <w:tcPr>
            <w:tcW w:type="dxa" w:w="3350"/>
            <w:shd w:fill="FFFFFF" w:val="clear"/>
            <w:tcMar>
              <w:top w:type="dxa" w:w="60"/>
              <w:left w:type="dxa" w:w="100"/>
              <w:bottom w:type="dxa" w:w="60"/>
              <w:right w:type="dxa" w:w="100"/>
            </w:tcMar>
          </w:tcPr>
          <w:p>
            <w:pPr>
              <w:jc w:val="left"/>
            </w:pPr>
            <w:r>
              <w:rPr>
                <w:b/>
                <w:bCs/>
                <w:color w:val="222222"/>
                <w:sz w:val="19"/>
                <w:szCs w:val="19"/>
              </w:rPr>
              <w:t xml:space="preserve">ROE</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45.9%</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28.5%</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32.5%</w:t>
            </w:r>
          </w:p>
        </w:tc>
      </w:tr>
      <w:tr>
        <w:tc>
          <w:tcPr>
            <w:tcW w:type="dxa" w:w="3350"/>
            <w:shd w:fill="F2F2F2" w:val="clear"/>
            <w:tcMar>
              <w:top w:type="dxa" w:w="60"/>
              <w:left w:type="dxa" w:w="100"/>
              <w:bottom w:type="dxa" w:w="60"/>
              <w:right w:type="dxa" w:w="100"/>
            </w:tcMar>
          </w:tcPr>
          <w:p>
            <w:pPr>
              <w:jc w:val="left"/>
            </w:pPr>
            <w:r>
              <w:rPr>
                <w:b/>
                <w:bCs/>
                <w:color w:val="222222"/>
                <w:sz w:val="19"/>
                <w:szCs w:val="19"/>
              </w:rPr>
              <w:t xml:space="preserve">Free Cash Flow (₹ Cr)</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968</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(114)</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(3,209)</w:t>
            </w:r>
          </w:p>
        </w:tc>
      </w:tr>
    </w:tbl>
    <w:p>
      <w:r>
        <w:br w:type="page"/>
      </w:r>
    </w:p>
    <w:p>
      <w:pPr>
        <w:pStyle w:val="Heading1"/>
        <w:spacing w:after="190" w:before="380"/>
      </w:pPr>
      <w:r>
        <w:t xml:space="preserve">Industry Overview</w:t>
      </w:r>
    </w:p>
    <w:p>
      <w:pPr>
        <w:spacing w:after="150" w:line="270"/>
      </w:pPr>
      <w:r>
        <w:rPr>
          <w:color w:val="222222"/>
          <w:sz w:val="21"/>
          <w:szCs w:val="21"/>
        </w:rPr>
        <w:t xml:space="preserve">Indian solar PV manufacturing sits at a genuine inflection point. Module manufacturing capacity has scaled roughly 12x since 2021 to over 120 GW — already ahead of the ~40-50 GW annual domestic demand implied by India's 500 GW non-fossil 2030 target — while upstream cell, wafer, and polysilicon capacity remains structurally under-built. The single most important near-term event for the entire sector is the activation of ALMM List-II for solar cells in June 2026, which will force non-vertically-integrated module makers to either secure domestic cell supply (at an estimated 3-7 cents/Wp cost premium versus imported cells) or accelerate their own backward integration.</w:t>
      </w:r>
    </w:p>
    <w:p>
      <w:pPr>
        <w:spacing w:after="150" w:line="270"/>
      </w:pPr>
      <w:r>
        <w:rPr>
          <w:color w:val="222222"/>
          <w:sz w:val="21"/>
          <w:szCs w:val="21"/>
        </w:rPr>
        <w:t xml:space="preserve">This creates a genuine bifurcation within the peer set: Adani Solar is fully vertically integrated from ingot to module; Premier Energies and Websol are cell-and-module integrated at smaller scale; Waaree, despite its capacity leadership, had only 2.3 GW of cell capacity in FY26 against 15 GW of module capacity — meaning it enters the List-II transition as a relative laggard on backward integration despite being the overall scale leader. The industry's structural tailwinds (ALMM, PLI, BCD, a GST cut to 5%, and genuine export demand from "China+1" diversification) are real and durable, but they do not automatically accrue evenly to every listed player, and the cell-integration question is the specific mechanism by which they will differentiate Waaree from Premier Energies over FY27-FY28.</w:t>
      </w:r>
    </w:p>
    <w:p>
      <w:pPr>
        <w:pStyle w:val="Heading1"/>
        <w:spacing w:after="190" w:before="380"/>
      </w:pPr>
      <w:r>
        <w:t xml:space="preserve">Financial Analysis Summary</w:t>
      </w:r>
    </w:p>
    <w:p>
      <w:pPr>
        <w:spacing w:after="150" w:line="270"/>
      </w:pPr>
      <w:r>
        <w:rPr>
          <w:color w:val="222222"/>
          <w:sz w:val="21"/>
          <w:szCs w:val="21"/>
        </w:rPr>
        <w:t xml:space="preserve">Waaree's FY20-FY26 financial history is a story of two overlapping trends that this report's valuation methodology deliberately holds apart rather than netting against each other: extraordinary, genuine operating leverage (EBITDA margin 5%→22%, net margin 2%→14.6%) alongside a working-capital and cash-conversion profile that deteriorated sharply in the very same year the P&amp;L looked best.</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3350"/>
        <w:gridCol w:w="2000"/>
        <w:gridCol w:w="2000"/>
        <w:gridCol w:w="2000"/>
      </w:tblGrid>
      <w:tr>
        <w:trPr>
          <w:tblHeader/>
        </w:trPr>
        <w:tc>
          <w:tcPr>
            <w:tcW w:type="dxa" w:w="3350"/>
            <w:shd w:fill="1F2A44" w:val="clear"/>
            <w:tcMar>
              <w:top w:type="dxa" w:w="60"/>
              <w:left w:type="dxa" w:w="100"/>
              <w:bottom w:type="dxa" w:w="60"/>
              <w:right w:type="dxa" w:w="100"/>
            </w:tcMar>
          </w:tcPr>
          <w:p>
            <w:pPr>
              <w:jc w:val="left"/>
            </w:pPr>
            <w:r>
              <w:rPr>
                <w:b/>
                <w:bCs/>
                <w:color w:val="FFFFFF"/>
                <w:sz w:val="19"/>
                <w:szCs w:val="19"/>
              </w:rPr>
              <w:t xml:space="preserve">Cash Quality Indicator</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FY24</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FY25</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FY26</w:t>
            </w:r>
          </w:p>
        </w:tc>
      </w:tr>
      <w:tr>
        <w:tc>
          <w:tcPr>
            <w:tcW w:type="dxa" w:w="3350"/>
            <w:shd w:fill="FFFFFF" w:val="clear"/>
            <w:tcMar>
              <w:top w:type="dxa" w:w="60"/>
              <w:left w:type="dxa" w:w="100"/>
              <w:bottom w:type="dxa" w:w="60"/>
              <w:right w:type="dxa" w:w="100"/>
            </w:tcMar>
          </w:tcPr>
          <w:p>
            <w:pPr>
              <w:jc w:val="left"/>
            </w:pPr>
            <w:r>
              <w:rPr>
                <w:b/>
                <w:bCs/>
                <w:color w:val="222222"/>
                <w:sz w:val="19"/>
                <w:szCs w:val="19"/>
              </w:rPr>
              <w:t xml:space="preserve">CFO / EBITDA</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146%</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116%</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27.5%</w:t>
            </w:r>
          </w:p>
        </w:tc>
      </w:tr>
      <w:tr>
        <w:tc>
          <w:tcPr>
            <w:tcW w:type="dxa" w:w="3350"/>
            <w:shd w:fill="F2F2F2" w:val="clear"/>
            <w:tcMar>
              <w:top w:type="dxa" w:w="60"/>
              <w:left w:type="dxa" w:w="100"/>
              <w:bottom w:type="dxa" w:w="60"/>
              <w:right w:type="dxa" w:w="100"/>
            </w:tcMar>
          </w:tcPr>
          <w:p>
            <w:pPr>
              <w:jc w:val="left"/>
            </w:pPr>
            <w:r>
              <w:rPr>
                <w:b/>
                <w:bCs/>
                <w:color w:val="222222"/>
                <w:sz w:val="19"/>
                <w:szCs w:val="19"/>
              </w:rPr>
              <w:t xml:space="preserve">Cash Conversion Cycle (days)</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55</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35</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90</w:t>
            </w:r>
          </w:p>
        </w:tc>
      </w:tr>
      <w:tr>
        <w:tc>
          <w:tcPr>
            <w:tcW w:type="dxa" w:w="3350"/>
            <w:shd w:fill="FFFFFF" w:val="clear"/>
            <w:tcMar>
              <w:top w:type="dxa" w:w="60"/>
              <w:left w:type="dxa" w:w="100"/>
              <w:bottom w:type="dxa" w:w="60"/>
              <w:right w:type="dxa" w:w="100"/>
            </w:tcMar>
          </w:tcPr>
          <w:p>
            <w:pPr>
              <w:jc w:val="left"/>
            </w:pPr>
            <w:r>
              <w:rPr>
                <w:b/>
                <w:bCs/>
                <w:color w:val="222222"/>
                <w:sz w:val="19"/>
                <w:szCs w:val="19"/>
              </w:rPr>
              <w:t xml:space="preserve">Free Cash Flow (₹ Cr)</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968</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(114)</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(3,209)</w:t>
            </w:r>
          </w:p>
        </w:tc>
      </w:tr>
      <w:tr>
        <w:tc>
          <w:tcPr>
            <w:tcW w:type="dxa" w:w="3350"/>
            <w:shd w:fill="F2F2F2" w:val="clear"/>
            <w:tcMar>
              <w:top w:type="dxa" w:w="60"/>
              <w:left w:type="dxa" w:w="100"/>
              <w:bottom w:type="dxa" w:w="60"/>
              <w:right w:type="dxa" w:w="100"/>
            </w:tcMar>
          </w:tcPr>
          <w:p>
            <w:pPr>
              <w:jc w:val="left"/>
            </w:pPr>
            <w:r>
              <w:rPr>
                <w:b/>
                <w:bCs/>
                <w:color w:val="222222"/>
                <w:sz w:val="19"/>
                <w:szCs w:val="19"/>
              </w:rPr>
              <w:t xml:space="preserve">Debt / Equity</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0.14x</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0.13x</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0.22x</w:t>
            </w:r>
          </w:p>
        </w:tc>
      </w:tr>
    </w:tbl>
    <w:p>
      <w:pPr>
        <w:spacing w:after="150" w:line="270"/>
      </w:pPr>
      <w:r>
        <w:rPr>
          <w:color w:val="222222"/>
          <w:sz w:val="21"/>
          <w:szCs w:val="21"/>
        </w:rPr>
        <w:t xml:space="preserve">(Note: the CFO/EBITDA figures above are recomputed directly from reported CFO and EBITDA and differ slightly from the CFO/Operating-Profit figures quoted in Part I, which used a marginally different operating-profit base; both point to the same FY26 deterioration.) The FY26 divergence — net profit up 101% while free cash flow fell to -₹3,209 Cr — is driven by inventory building ahead of the ALMM List-II transition and, more tellingly, faster payments to suppliers even as customer collection and inventory holding lengthened. This is the single financial fact this report weights most heavily in setting the price target, because it is Waaree-specific, disclosed, and not a sector-wide phenomenon reflected uniformly in peer multiples.</w:t>
      </w:r>
    </w:p>
    <w:p>
      <w:r>
        <w:br w:type="page"/>
      </w:r>
    </w:p>
    <w:p>
      <w:pPr>
        <w:pStyle w:val="Heading1"/>
        <w:spacing w:after="190" w:before="380"/>
      </w:pPr>
      <w:r>
        <w:t xml:space="preserve">Valuation &amp; Price Target</w:t>
      </w:r>
    </w:p>
    <w:p>
      <w:pPr>
        <w:spacing w:after="150" w:line="270"/>
      </w:pPr>
      <w:r>
        <w:rPr>
          <w:color w:val="222222"/>
          <w:sz w:val="21"/>
          <w:szCs w:val="21"/>
        </w:rPr>
        <w:t xml:space="preserve">This report triangulates three independent methodologies built out in full in the accompanying model package (DCF and comps in the Valuation workbook; Monte Carlo in the Python analytics package) rather than relying on any single method.</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4200"/>
        <w:gridCol w:w="1900"/>
        <w:gridCol w:w="1900"/>
        <w:gridCol w:w="1350"/>
      </w:tblGrid>
      <w:tr>
        <w:trPr>
          <w:tblHeader/>
        </w:trPr>
        <w:tc>
          <w:tcPr>
            <w:tcW w:type="dxa" w:w="4200"/>
            <w:shd w:fill="1F2A44" w:val="clear"/>
            <w:tcMar>
              <w:top w:type="dxa" w:w="60"/>
              <w:left w:type="dxa" w:w="100"/>
              <w:bottom w:type="dxa" w:w="60"/>
              <w:right w:type="dxa" w:w="100"/>
            </w:tcMar>
          </w:tcPr>
          <w:p>
            <w:pPr>
              <w:jc w:val="left"/>
            </w:pPr>
            <w:r>
              <w:rPr>
                <w:b/>
                <w:bCs/>
                <w:color w:val="FFFFFF"/>
                <w:sz w:val="19"/>
                <w:szCs w:val="19"/>
              </w:rPr>
              <w:t xml:space="preserve">Methodology</w:t>
            </w:r>
          </w:p>
        </w:tc>
        <w:tc>
          <w:tcPr>
            <w:tcW w:type="dxa" w:w="1900"/>
            <w:shd w:fill="1F2A44" w:val="clear"/>
            <w:tcMar>
              <w:top w:type="dxa" w:w="60"/>
              <w:left w:type="dxa" w:w="100"/>
              <w:bottom w:type="dxa" w:w="60"/>
              <w:right w:type="dxa" w:w="100"/>
            </w:tcMar>
          </w:tcPr>
          <w:p>
            <w:pPr>
              <w:jc w:val="center"/>
            </w:pPr>
            <w:r>
              <w:rPr>
                <w:b/>
                <w:bCs/>
                <w:color w:val="FFFFFF"/>
                <w:sz w:val="19"/>
                <w:szCs w:val="19"/>
              </w:rPr>
              <w:t xml:space="preserve">Value / Share (₹)</w:t>
            </w:r>
          </w:p>
        </w:tc>
        <w:tc>
          <w:tcPr>
            <w:tcW w:type="dxa" w:w="1900"/>
            <w:shd w:fill="1F2A44" w:val="clear"/>
            <w:tcMar>
              <w:top w:type="dxa" w:w="60"/>
              <w:left w:type="dxa" w:w="100"/>
              <w:bottom w:type="dxa" w:w="60"/>
              <w:right w:type="dxa" w:w="100"/>
            </w:tcMar>
          </w:tcPr>
          <w:p>
            <w:pPr>
              <w:jc w:val="center"/>
            </w:pPr>
            <w:r>
              <w:rPr>
                <w:b/>
                <w:bCs/>
                <w:color w:val="FFFFFF"/>
                <w:sz w:val="19"/>
                <w:szCs w:val="19"/>
              </w:rPr>
              <w:t xml:space="preserve">vs. CMP ₹2,886</w:t>
            </w:r>
          </w:p>
        </w:tc>
        <w:tc>
          <w:tcPr>
            <w:tcW w:type="dxa" w:w="1350"/>
            <w:shd w:fill="1F2A44" w:val="clear"/>
            <w:tcMar>
              <w:top w:type="dxa" w:w="60"/>
              <w:left w:type="dxa" w:w="100"/>
              <w:bottom w:type="dxa" w:w="60"/>
              <w:right w:type="dxa" w:w="100"/>
            </w:tcMar>
          </w:tcPr>
          <w:p>
            <w:pPr>
              <w:jc w:val="center"/>
            </w:pPr>
            <w:r>
              <w:rPr>
                <w:b/>
                <w:bCs/>
                <w:color w:val="FFFFFF"/>
                <w:sz w:val="19"/>
                <w:szCs w:val="19"/>
              </w:rPr>
              <w:t xml:space="preserve">Weight Applied</w:t>
            </w:r>
          </w:p>
        </w:tc>
      </w:tr>
      <w:tr>
        <w:tc>
          <w:tcPr>
            <w:tcW w:type="dxa" w:w="4200"/>
            <w:shd w:fill="FFFFFF" w:val="clear"/>
            <w:tcMar>
              <w:top w:type="dxa" w:w="60"/>
              <w:left w:type="dxa" w:w="100"/>
              <w:bottom w:type="dxa" w:w="60"/>
              <w:right w:type="dxa" w:w="100"/>
            </w:tcMar>
          </w:tcPr>
          <w:p>
            <w:pPr>
              <w:jc w:val="left"/>
            </w:pPr>
            <w:r>
              <w:rPr>
                <w:b/>
                <w:bCs/>
                <w:color w:val="222222"/>
                <w:sz w:val="19"/>
                <w:szCs w:val="19"/>
              </w:rPr>
              <w:t xml:space="preserve">DCF — Base Case (WACC 13.8%, g 5.0%)</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2,146</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-25.6%</w:t>
            </w:r>
          </w:p>
        </w:tc>
        <w:tc>
          <w:tcPr>
            <w:tcW w:type="dxa" w:w="1350"/>
            <w:shd w:fill="FFFFFF" w:val="clear"/>
            <w:tcMar>
              <w:top w:type="dxa" w:w="60"/>
              <w:left w:type="dxa" w:w="100"/>
              <w:bottom w:type="dxa" w:w="60"/>
              <w:right w:type="dxa" w:w="100"/>
            </w:tcMar>
          </w:tcPr>
          <w:p>
            <w:pPr>
              <w:jc w:val="center"/>
            </w:pPr>
            <w:r>
              <w:rPr>
                <w:b w:val="false"/>
                <w:bCs w:val="false"/>
                <w:color w:val="222222"/>
                <w:sz w:val="19"/>
                <w:szCs w:val="19"/>
              </w:rPr>
              <w:t xml:space="preserve">65%</w:t>
            </w:r>
          </w:p>
        </w:tc>
      </w:tr>
      <w:tr>
        <w:tc>
          <w:tcPr>
            <w:tcW w:type="dxa" w:w="4200"/>
            <w:shd w:fill="F2F2F2" w:val="clear"/>
            <w:tcMar>
              <w:top w:type="dxa" w:w="60"/>
              <w:left w:type="dxa" w:w="100"/>
              <w:bottom w:type="dxa" w:w="60"/>
              <w:right w:type="dxa" w:w="100"/>
            </w:tcMar>
          </w:tcPr>
          <w:p>
            <w:pPr>
              <w:jc w:val="left"/>
            </w:pPr>
            <w:r>
              <w:rPr>
                <w:b/>
                <w:bCs/>
                <w:color w:val="222222"/>
                <w:sz w:val="19"/>
                <w:szCs w:val="19"/>
              </w:rPr>
              <w:t xml:space="preserve">Comps — avg. of EV/EBITDA &amp; P/E vs. peers</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3,900</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+35.1%</w:t>
            </w:r>
          </w:p>
        </w:tc>
        <w:tc>
          <w:tcPr>
            <w:tcW w:type="dxa" w:w="1350"/>
            <w:shd w:fill="F2F2F2" w:val="clear"/>
            <w:tcMar>
              <w:top w:type="dxa" w:w="60"/>
              <w:left w:type="dxa" w:w="100"/>
              <w:bottom w:type="dxa" w:w="60"/>
              <w:right w:type="dxa" w:w="100"/>
            </w:tcMar>
          </w:tcPr>
          <w:p>
            <w:pPr>
              <w:jc w:val="center"/>
            </w:pPr>
            <w:r>
              <w:rPr>
                <w:b w:val="false"/>
                <w:bCs w:val="false"/>
                <w:color w:val="222222"/>
                <w:sz w:val="19"/>
                <w:szCs w:val="19"/>
              </w:rPr>
              <w:t xml:space="preserve">35%</w:t>
            </w:r>
          </w:p>
        </w:tc>
      </w:tr>
      <w:tr>
        <w:tc>
          <w:tcPr>
            <w:tcW w:type="dxa" w:w="4200"/>
            <w:shd w:fill="FFFFFF" w:val="clear"/>
            <w:tcMar>
              <w:top w:type="dxa" w:w="60"/>
              <w:left w:type="dxa" w:w="100"/>
              <w:bottom w:type="dxa" w:w="60"/>
              <w:right w:type="dxa" w:w="100"/>
            </w:tcMar>
          </w:tcPr>
          <w:p>
            <w:pPr>
              <w:jc w:val="left"/>
            </w:pPr>
            <w:r>
              <w:rPr>
                <w:b/>
                <w:bCs/>
                <w:color w:val="222222"/>
                <w:sz w:val="19"/>
                <w:szCs w:val="19"/>
              </w:rPr>
              <w:t xml:space="preserve">Monte Carlo DCF — median of 20,000 sims</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2,121</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-26.5%</w:t>
            </w:r>
          </w:p>
        </w:tc>
        <w:tc>
          <w:tcPr>
            <w:tcW w:type="dxa" w:w="1350"/>
            <w:shd w:fill="FFFFFF" w:val="clear"/>
            <w:tcMar>
              <w:top w:type="dxa" w:w="60"/>
              <w:left w:type="dxa" w:w="100"/>
              <w:bottom w:type="dxa" w:w="60"/>
              <w:right w:type="dxa" w:w="100"/>
            </w:tcMar>
          </w:tcPr>
          <w:p>
            <w:pPr>
              <w:jc w:val="center"/>
            </w:pPr>
            <w:r>
              <w:rPr>
                <w:b w:val="false"/>
                <w:bCs w:val="false"/>
                <w:color w:val="222222"/>
                <w:sz w:val="19"/>
                <w:szCs w:val="19"/>
              </w:rPr>
              <w:t xml:space="preserve">(cross-check only)</w:t>
            </w:r>
          </w:p>
        </w:tc>
      </w:tr>
    </w:tbl>
    <w:p>
      <w:pPr>
        <w:spacing w:after="150" w:line="270"/>
      </w:pPr>
      <w:r>
        <w:rPr>
          <w:color w:val="222222"/>
          <w:sz w:val="21"/>
          <w:szCs w:val="21"/>
        </w:rPr>
        <w:t xml:space="preserve">Blended target = 65% × ₹2,146 + 35% × ₹3,900 ≈ ₹2,760/share, roughly 4.4% below the current market price.</w:t>
      </w:r>
    </w:p>
    <w:tbl>
      <w:tblPr>
        <w:tblW w:type="dxa" w:w="9350"/>
        <w:tblBorders>
          <w:top w:val="single" w:color="5B4B8A" w:sz="4"/>
          <w:left w:val="single" w:color="5B4B8A" w:sz="4"/>
          <w:bottom w:val="single" w:color="5B4B8A" w:sz="4"/>
          <w:right w:val="single" w:color="5B4B8A" w:sz="4"/>
          <w:insideH w:val="none"/>
          <w:insideV w:val="none"/>
        </w:tblBorders>
      </w:tblPr>
      <w:tblGrid>
        <w:gridCol w:w="9350"/>
      </w:tblGrid>
      <w:tr>
        <w:tc>
          <w:tcPr>
            <w:tcW w:type="dxa" w:w="9350"/>
            <w:shd w:fill="EDE9F5" w:val="clear"/>
            <w:tcMar>
              <w:top w:type="dxa" w:w="150"/>
              <w:left w:type="dxa" w:w="200"/>
              <w:bottom w:type="dxa" w:w="150"/>
              <w:right w:type="dxa" w:w="200"/>
            </w:tcMar>
          </w:tcPr>
          <w:p>
            <w:pPr>
              <w:spacing w:after="80"/>
            </w:pPr>
            <w:r>
              <w:rPr>
                <w:b/>
                <w:bCs/>
                <w:color w:val="1F2A44"/>
                <w:sz w:val="21"/>
                <w:szCs w:val="21"/>
              </w:rPr>
              <w:t xml:space="preserve">Why DCF Is Weighted More Heavily Than Comps</w:t>
            </w:r>
          </w:p>
          <w:p>
            <w:pPr>
              <w:spacing w:after="40"/>
            </w:pPr>
            <w:r>
              <w:rPr>
                <w:color w:val="5B4B8A"/>
                <w:sz w:val="20"/>
                <w:szCs w:val="20"/>
              </w:rPr>
              <w:t xml:space="preserve">▪ </w:t>
            </w:r>
            <w:r>
              <w:rPr>
                <w:color w:val="222222"/>
                <w:sz w:val="20"/>
                <w:szCs w:val="20"/>
              </w:rPr>
              <w:t xml:space="preserve">The FY26 cash-conversion deterioration (CFO/EBITDA to 27.5%, FCF to -₹3,209 Cr) is Waaree-specific, fully disclosed, and directly modeled in the DCF's working-capital assumptions — it is not obviously reflected in Premier Energies' or Websol's current trading multiples.</w:t>
            </w:r>
          </w:p>
          <w:p>
            <w:pPr>
              <w:spacing w:after="40"/>
            </w:pPr>
            <w:r>
              <w:rPr>
                <w:color w:val="5B4B8A"/>
                <w:sz w:val="20"/>
                <w:szCs w:val="20"/>
              </w:rPr>
              <w:t xml:space="preserve">▪ </w:t>
            </w:r>
            <w:r>
              <w:rPr>
                <w:color w:val="222222"/>
                <w:sz w:val="20"/>
                <w:szCs w:val="20"/>
              </w:rPr>
              <w:t xml:space="preserve">The comps set is thin (three clean peers) and includes at least one clearly frothy data point (Vikram Solar traded at 68-72x P/E at its August 2025 IPO) — peer multiples may themselves be inflated by sector-wide optimism about the ALMM List-II transition rather than company-specific fundamentals.</w:t>
            </w:r>
          </w:p>
          <w:p>
            <w:pPr>
              <w:spacing w:after="40"/>
            </w:pPr>
            <w:r>
              <w:rPr>
                <w:color w:val="5B4B8A"/>
                <w:sz w:val="20"/>
                <w:szCs w:val="20"/>
              </w:rPr>
              <w:t xml:space="preserve">▪ </w:t>
            </w:r>
            <w:r>
              <w:rPr>
                <w:color w:val="222222"/>
                <w:sz w:val="20"/>
                <w:szCs w:val="20"/>
              </w:rPr>
              <w:t xml:space="preserve">The Monte Carlo cross-check (median ₹2,121, only ~11% probability of exceeding CMP) independently corroborates the DCF's caution using a full distribution rather than a single point estimate, reinforcing the higher weight placed on it.</w:t>
            </w:r>
          </w:p>
          <w:p>
            <w:pPr>
              <w:spacing w:after="40"/>
            </w:pPr>
            <w:r>
              <w:rPr>
                <w:color w:val="5B4B8A"/>
                <w:sz w:val="20"/>
                <w:szCs w:val="20"/>
              </w:rPr>
              <w:t xml:space="preserve">▪ </w:t>
            </w:r>
            <w:r>
              <w:rPr>
                <w:color w:val="222222"/>
                <w:sz w:val="20"/>
                <w:szCs w:val="20"/>
              </w:rPr>
              <w:t xml:space="preserve">This weighting is a judgment call, stated explicitly rather than hidden in an unweighted average — a 50/50 blend would instead yield a mildly bullish ₹3,023 target (+4.7%); the choice of 65/35 is this report's considered view, not the only defensible one.</w:t>
            </w:r>
          </w:p>
        </w:tc>
      </w:tr>
    </w:tbl>
    <w:p>
      <w:r>
        <w:br w:type="page"/>
      </w:r>
    </w:p>
    <w:p>
      <w:pPr>
        <w:pStyle w:val="Heading1"/>
        <w:spacing w:after="190" w:before="380"/>
      </w:pPr>
      <w:r>
        <w:t xml:space="preserve">Catalysts (Upside Risks to the HOLD Rating)</w:t>
      </w:r>
    </w:p>
    <w:p>
      <w:pPr>
        <w:pStyle w:val="ListParagraph"/>
        <w:numPr>
          <w:ilvl w:val="0"/>
          <w:numId w:val="1"/>
        </w:numPr>
        <w:spacing w:after="85" w:line="270"/>
      </w:pPr>
      <w:r>
        <w:rPr>
          <w:color w:val="222222"/>
          <w:sz w:val="21"/>
          <w:szCs w:val="21"/>
        </w:rPr>
        <w:t xml:space="preserve">Faster-than-modeled cell/wafer backward integration ahead of the June 2026 ALMM List-II deadline, closing Waaree's integration gap versus Adani Solar and Premier Energies and protecting margins from the modeled cost pass-through.</w:t>
      </w:r>
    </w:p>
    <w:p>
      <w:pPr>
        <w:pStyle w:val="ListParagraph"/>
        <w:numPr>
          <w:ilvl w:val="0"/>
          <w:numId w:val="1"/>
        </w:numPr>
        <w:spacing w:after="85" w:line="270"/>
      </w:pPr>
      <w:r>
        <w:rPr>
          <w:color w:val="222222"/>
          <w:sz w:val="21"/>
          <w:szCs w:val="21"/>
        </w:rPr>
        <w:t xml:space="preserve">Reversal of the FY26 working-capital deterioration in 1H-FY27 results, which would directly validate the optimistic corner of the DCF sensitivity table (WACC 12.8%/g 6.0% ≈ ₹2,776, essentially at CMP).</w:t>
      </w:r>
    </w:p>
    <w:p>
      <w:pPr>
        <w:pStyle w:val="ListParagraph"/>
        <w:numPr>
          <w:ilvl w:val="0"/>
          <w:numId w:val="1"/>
        </w:numPr>
        <w:spacing w:after="85" w:line="270"/>
      </w:pPr>
      <w:r>
        <w:rPr>
          <w:color w:val="222222"/>
          <w:sz w:val="21"/>
          <w:szCs w:val="21"/>
        </w:rPr>
        <w:t xml:space="preserve">Successful execution and margin accretion from the BESS/green hydrogen/transformer diversification (Kotsons, Racemosa, pending Waaree Semicon), which is not separately modeled in this report's base-case DCF and represents pure optionality.</w:t>
      </w:r>
    </w:p>
    <w:p>
      <w:pPr>
        <w:pStyle w:val="ListParagraph"/>
        <w:numPr>
          <w:ilvl w:val="0"/>
          <w:numId w:val="1"/>
        </w:numPr>
        <w:spacing w:after="85" w:line="270"/>
      </w:pPr>
      <w:r>
        <w:rPr>
          <w:color w:val="222222"/>
          <w:sz w:val="21"/>
          <w:szCs w:val="21"/>
        </w:rPr>
        <w:t xml:space="preserve">Favorable resolution and closure of the 2026 US CBP inquiry with no residual tariff/trade exposure, protecting the export revenue book.</w:t>
      </w:r>
    </w:p>
    <w:p>
      <w:pPr>
        <w:pStyle w:val="ListParagraph"/>
        <w:numPr>
          <w:ilvl w:val="0"/>
          <w:numId w:val="1"/>
        </w:numPr>
        <w:spacing w:after="85" w:line="270"/>
      </w:pPr>
      <w:r>
        <w:rPr>
          <w:color w:val="222222"/>
          <w:sz w:val="21"/>
          <w:szCs w:val="21"/>
        </w:rPr>
        <w:t xml:space="preserve">Successful, non-dilutive-to-thesis execution of the ₹10,000 Cr QIP, funding growth without the leverage increase this report's model currently assumes.</w:t>
      </w:r>
    </w:p>
    <w:p>
      <w:pPr>
        <w:pStyle w:val="Heading1"/>
        <w:spacing w:after="190" w:before="380"/>
      </w:pPr>
      <w:r>
        <w:t xml:space="preserve">Risks (Downside Risks to the HOLD Rating)</w:t>
      </w:r>
    </w:p>
    <w:p>
      <w:pPr>
        <w:pStyle w:val="ListParagraph"/>
        <w:numPr>
          <w:ilvl w:val="0"/>
          <w:numId w:val="1"/>
        </w:numPr>
        <w:spacing w:after="85" w:line="270"/>
      </w:pPr>
      <w:r>
        <w:rPr>
          <w:color w:val="222222"/>
          <w:sz w:val="21"/>
          <w:szCs w:val="21"/>
        </w:rPr>
        <w:t xml:space="preserve">Structural (not transitory) reset of working capital intensity: if the FY26 cash-conversion cycle (90 days) persists rather than normalizing, actual free cash flow will undershoot this report's already-conservative DCF forecast.</w:t>
      </w:r>
    </w:p>
    <w:p>
      <w:pPr>
        <w:pStyle w:val="ListParagraph"/>
        <w:numPr>
          <w:ilvl w:val="0"/>
          <w:numId w:val="1"/>
        </w:numPr>
        <w:spacing w:after="85" w:line="270"/>
      </w:pPr>
      <w:r>
        <w:rPr>
          <w:color w:val="222222"/>
          <w:sz w:val="21"/>
          <w:szCs w:val="21"/>
        </w:rPr>
        <w:t xml:space="preserve">ALMM List-II cost pass-through proves larger or more prolonged than modeled, compressing the EBITDA margin expansion (20%→22%) this report's DCF assumes for FY27-FY31.</w:t>
      </w:r>
    </w:p>
    <w:p>
      <w:pPr>
        <w:pStyle w:val="ListParagraph"/>
        <w:numPr>
          <w:ilvl w:val="0"/>
          <w:numId w:val="1"/>
        </w:numPr>
        <w:spacing w:after="85" w:line="270"/>
      </w:pPr>
      <w:r>
        <w:rPr>
          <w:color w:val="222222"/>
          <w:sz w:val="21"/>
          <w:szCs w:val="21"/>
        </w:rPr>
        <w:t xml:space="preserve">Module/cell overcapacity (industry nameplate capacity already exceeds domestic demand) pressures realizations sector-wide, independent of company-specific execution.</w:t>
      </w:r>
    </w:p>
    <w:p>
      <w:pPr>
        <w:pStyle w:val="ListParagraph"/>
        <w:numPr>
          <w:ilvl w:val="0"/>
          <w:numId w:val="1"/>
        </w:numPr>
        <w:spacing w:after="85" w:line="270"/>
      </w:pPr>
      <w:r>
        <w:rPr>
          <w:color w:val="222222"/>
          <w:sz w:val="21"/>
          <w:szCs w:val="21"/>
        </w:rPr>
        <w:t xml:space="preserve">Execution risk on an unusually broad, acquisition-led diversification agenda (BESS, hydrogen, transformers, semiconductors) run concurrently with the core capacity build-out.</w:t>
      </w:r>
    </w:p>
    <w:p>
      <w:pPr>
        <w:pStyle w:val="ListParagraph"/>
        <w:numPr>
          <w:ilvl w:val="0"/>
          <w:numId w:val="1"/>
        </w:numPr>
        <w:spacing w:after="85" w:line="270"/>
      </w:pPr>
      <w:r>
        <w:rPr>
          <w:color w:val="222222"/>
          <w:sz w:val="21"/>
          <w:szCs w:val="21"/>
        </w:rPr>
        <w:t xml:space="preserve">Trade-policy risk concentrated in the US export book, where regulatory/customs scrutiny has already occurred once in 2026.</w:t>
      </w:r>
    </w:p>
    <w:p>
      <w:pPr>
        <w:pStyle w:val="ListParagraph"/>
        <w:numPr>
          <w:ilvl w:val="0"/>
          <w:numId w:val="1"/>
        </w:numPr>
        <w:spacing w:after="85" w:line="270"/>
      </w:pPr>
      <w:r>
        <w:rPr>
          <w:color w:val="222222"/>
          <w:sz w:val="21"/>
          <w:szCs w:val="21"/>
        </w:rPr>
        <w:t xml:space="preserve">QIP dilution: the modeled 30.1 Cr share count does not reflect the pending ₹10,000 Cr raise, which will dilute per-share value by an amount not yet quantifiable pending deal terms.</w:t>
      </w:r>
    </w:p>
    <w:p>
      <w:r>
        <w:br w:type="page"/>
      </w:r>
    </w:p>
    <w:p>
      <w:pPr>
        <w:pStyle w:val="Heading1"/>
        <w:spacing w:after="190" w:before="380"/>
      </w:pPr>
      <w:r>
        <w:t xml:space="preserve">Recommendation</w:t>
      </w:r>
    </w:p>
    <w:p>
      <w:pPr>
        <w:spacing w:after="150" w:line="270"/>
      </w:pPr>
      <w:r>
        <w:rPr>
          <w:color w:val="222222"/>
          <w:sz w:val="21"/>
          <w:szCs w:val="21"/>
        </w:rPr>
        <w:t xml:space="preserve">HOLD (Neutral), 12-month target price ₹2,760/share (-4.4% vs. CMP ₹2,886).</w:t>
      </w:r>
    </w:p>
    <w:p>
      <w:pPr>
        <w:spacing w:after="150" w:line="270"/>
      </w:pPr>
      <w:r>
        <w:rPr>
          <w:color w:val="222222"/>
          <w:sz w:val="21"/>
          <w:szCs w:val="21"/>
        </w:rPr>
        <w:t xml:space="preserve">Waaree Energies is a genuine scale leader in a structurally advantaged industry, and nothing in this report's analysis disputes the long-run bull case for Indian solar manufacturing or Waaree's position within it. But the FY26 results that have driven the stock's re-rating contain a specific, disclosed, and as-yet-unresolved deterioration in cash quality that this report's valuation work — via DCF, comps, and Monte Carlo triangulation — concludes is not yet fully reflected in the current share price relative to a fundamentals-anchored view. The recommendation is to hold existing positions and revisit the rating on the earlier of: (1) 1H-FY27 results showing the cash conversion cycle normalizing back toward FY25's 35-day level, or (2) confirmed cell-capacity progress materially ahead of the current 2.3 GW base, either of which would justify moving to the optimistic corner of the DCF sensitivity table and, with it, an upgrade.</w:t>
      </w:r>
    </w:p>
    <w:p>
      <w:pPr>
        <w:spacing w:after="100" w:before="300"/>
      </w:pPr>
      <w:r>
        <w:rPr>
          <w:i/>
          <w:iCs/>
          <w:color w:val="666666"/>
          <w:sz w:val="17"/>
          <w:szCs w:val="17"/>
        </w:rPr>
        <w:t xml:space="preserve">This report is prepared for educational / portfolio purposes as part of an independent equity research project and does not constitute investment advice.</w:t>
      </w:r>
    </w:p>
    <w:p>
      <w:r>
        <w:br w:type="page"/>
      </w:r>
    </w:p>
    <w:p>
      <w:pPr>
        <w:pStyle w:val="Heading1"/>
        <w:spacing w:after="190" w:before="380"/>
      </w:pPr>
      <w:r>
        <w:t xml:space="preserve">Appendix</w:t>
      </w:r>
    </w:p>
    <w:p>
      <w:pPr>
        <w:pStyle w:val="Heading2"/>
        <w:spacing w:after="140" w:before="280"/>
      </w:pPr>
      <w:r>
        <w:t xml:space="preserve">A1. DCF Sensitivity Grid (₹/share)</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200"/>
        <w:gridCol w:w="1430"/>
        <w:gridCol w:w="1430"/>
        <w:gridCol w:w="1430"/>
        <w:gridCol w:w="1430"/>
        <w:gridCol w:w="1430"/>
      </w:tblGrid>
      <w:tr>
        <w:trPr>
          <w:tblHeader/>
        </w:trPr>
        <w:tc>
          <w:tcPr>
            <w:tcW w:type="dxa" w:w="2200"/>
            <w:shd w:fill="1F2A44" w:val="clear"/>
            <w:tcMar>
              <w:top w:type="dxa" w:w="60"/>
              <w:left w:type="dxa" w:w="100"/>
              <w:bottom w:type="dxa" w:w="60"/>
              <w:right w:type="dxa" w:w="100"/>
            </w:tcMar>
          </w:tcPr>
          <w:p>
            <w:pPr>
              <w:jc w:val="left"/>
            </w:pPr>
            <w:r>
              <w:rPr>
                <w:b/>
                <w:bCs/>
                <w:color w:val="FFFFFF"/>
                <w:sz w:val="19"/>
                <w:szCs w:val="19"/>
              </w:rPr>
              <w:t xml:space="preserve">WACC ＼ g</w:t>
            </w:r>
          </w:p>
        </w:tc>
        <w:tc>
          <w:tcPr>
            <w:tcW w:type="dxa" w:w="1430"/>
            <w:shd w:fill="1F2A44" w:val="clear"/>
            <w:tcMar>
              <w:top w:type="dxa" w:w="60"/>
              <w:left w:type="dxa" w:w="100"/>
              <w:bottom w:type="dxa" w:w="60"/>
              <w:right w:type="dxa" w:w="100"/>
            </w:tcMar>
          </w:tcPr>
          <w:p>
            <w:pPr>
              <w:jc w:val="center"/>
            </w:pPr>
            <w:r>
              <w:rPr>
                <w:b/>
                <w:bCs/>
                <w:color w:val="FFFFFF"/>
                <w:sz w:val="19"/>
                <w:szCs w:val="19"/>
              </w:rPr>
              <w:t xml:space="preserve">3.0%</w:t>
            </w:r>
          </w:p>
        </w:tc>
        <w:tc>
          <w:tcPr>
            <w:tcW w:type="dxa" w:w="1430"/>
            <w:shd w:fill="1F2A44" w:val="clear"/>
            <w:tcMar>
              <w:top w:type="dxa" w:w="60"/>
              <w:left w:type="dxa" w:w="100"/>
              <w:bottom w:type="dxa" w:w="60"/>
              <w:right w:type="dxa" w:w="100"/>
            </w:tcMar>
          </w:tcPr>
          <w:p>
            <w:pPr>
              <w:jc w:val="center"/>
            </w:pPr>
            <w:r>
              <w:rPr>
                <w:b/>
                <w:bCs/>
                <w:color w:val="FFFFFF"/>
                <w:sz w:val="19"/>
                <w:szCs w:val="19"/>
              </w:rPr>
              <w:t xml:space="preserve">4.0%</w:t>
            </w:r>
          </w:p>
        </w:tc>
        <w:tc>
          <w:tcPr>
            <w:tcW w:type="dxa" w:w="1430"/>
            <w:shd w:fill="1F2A44" w:val="clear"/>
            <w:tcMar>
              <w:top w:type="dxa" w:w="60"/>
              <w:left w:type="dxa" w:w="100"/>
              <w:bottom w:type="dxa" w:w="60"/>
              <w:right w:type="dxa" w:w="100"/>
            </w:tcMar>
          </w:tcPr>
          <w:p>
            <w:pPr>
              <w:jc w:val="center"/>
            </w:pPr>
            <w:r>
              <w:rPr>
                <w:b/>
                <w:bCs/>
                <w:color w:val="FFFFFF"/>
                <w:sz w:val="19"/>
                <w:szCs w:val="19"/>
              </w:rPr>
              <w:t xml:space="preserve">5.0%</w:t>
            </w:r>
          </w:p>
        </w:tc>
        <w:tc>
          <w:tcPr>
            <w:tcW w:type="dxa" w:w="1430"/>
            <w:shd w:fill="1F2A44" w:val="clear"/>
            <w:tcMar>
              <w:top w:type="dxa" w:w="60"/>
              <w:left w:type="dxa" w:w="100"/>
              <w:bottom w:type="dxa" w:w="60"/>
              <w:right w:type="dxa" w:w="100"/>
            </w:tcMar>
          </w:tcPr>
          <w:p>
            <w:pPr>
              <w:jc w:val="center"/>
            </w:pPr>
            <w:r>
              <w:rPr>
                <w:b/>
                <w:bCs/>
                <w:color w:val="FFFFFF"/>
                <w:sz w:val="19"/>
                <w:szCs w:val="19"/>
              </w:rPr>
              <w:t xml:space="preserve">6.0%</w:t>
            </w:r>
          </w:p>
        </w:tc>
        <w:tc>
          <w:tcPr>
            <w:tcW w:type="dxa" w:w="1430"/>
            <w:shd w:fill="1F2A44" w:val="clear"/>
            <w:tcMar>
              <w:top w:type="dxa" w:w="60"/>
              <w:left w:type="dxa" w:w="100"/>
              <w:bottom w:type="dxa" w:w="60"/>
              <w:right w:type="dxa" w:w="100"/>
            </w:tcMar>
          </w:tcPr>
          <w:p>
            <w:pPr>
              <w:jc w:val="center"/>
            </w:pPr>
            <w:r>
              <w:rPr>
                <w:b/>
                <w:bCs/>
                <w:color w:val="FFFFFF"/>
                <w:sz w:val="19"/>
                <w:szCs w:val="19"/>
              </w:rPr>
              <w:t xml:space="preserve">7.0%</w:t>
            </w:r>
          </w:p>
        </w:tc>
      </w:tr>
      <w:tr>
        <w:tc>
          <w:tcPr>
            <w:tcW w:type="dxa" w:w="2200"/>
            <w:shd w:fill="FFFFFF" w:val="clear"/>
            <w:tcMar>
              <w:top w:type="dxa" w:w="60"/>
              <w:left w:type="dxa" w:w="100"/>
              <w:bottom w:type="dxa" w:w="60"/>
              <w:right w:type="dxa" w:w="100"/>
            </w:tcMar>
          </w:tcPr>
          <w:p>
            <w:pPr>
              <w:jc w:val="left"/>
            </w:pPr>
            <w:r>
              <w:rPr>
                <w:b/>
                <w:bCs/>
                <w:color w:val="222222"/>
                <w:sz w:val="19"/>
                <w:szCs w:val="19"/>
              </w:rPr>
              <w:t xml:space="preserve">11.8%</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2,291</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2,546</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2,876</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3,319</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3,947</w:t>
            </w:r>
          </w:p>
        </w:tc>
      </w:tr>
      <w:tr>
        <w:tc>
          <w:tcPr>
            <w:tcW w:type="dxa" w:w="2200"/>
            <w:shd w:fill="F2F2F2" w:val="clear"/>
            <w:tcMar>
              <w:top w:type="dxa" w:w="60"/>
              <w:left w:type="dxa" w:w="100"/>
              <w:bottom w:type="dxa" w:w="60"/>
              <w:right w:type="dxa" w:w="100"/>
            </w:tcMar>
          </w:tcPr>
          <w:p>
            <w:pPr>
              <w:jc w:val="left"/>
            </w:pPr>
            <w:r>
              <w:rPr>
                <w:b/>
                <w:bCs/>
                <w:color w:val="222222"/>
                <w:sz w:val="19"/>
                <w:szCs w:val="19"/>
              </w:rPr>
              <w:t xml:space="preserve">12.8%</w:t>
            </w:r>
          </w:p>
        </w:tc>
        <w:tc>
          <w:tcPr>
            <w:tcW w:type="dxa" w:w="1430"/>
            <w:shd w:fill="F2F2F2" w:val="clear"/>
            <w:tcMar>
              <w:top w:type="dxa" w:w="60"/>
              <w:left w:type="dxa" w:w="100"/>
              <w:bottom w:type="dxa" w:w="60"/>
              <w:right w:type="dxa" w:w="100"/>
            </w:tcMar>
          </w:tcPr>
          <w:p>
            <w:pPr>
              <w:jc w:val="center"/>
            </w:pPr>
            <w:r>
              <w:rPr>
                <w:b w:val="false"/>
                <w:bCs w:val="false"/>
                <w:color w:val="222222"/>
                <w:sz w:val="19"/>
                <w:szCs w:val="19"/>
              </w:rPr>
              <w:t xml:space="preserve">2,017</w:t>
            </w:r>
          </w:p>
        </w:tc>
        <w:tc>
          <w:tcPr>
            <w:tcW w:type="dxa" w:w="1430"/>
            <w:shd w:fill="F2F2F2" w:val="clear"/>
            <w:tcMar>
              <w:top w:type="dxa" w:w="60"/>
              <w:left w:type="dxa" w:w="100"/>
              <w:bottom w:type="dxa" w:w="60"/>
              <w:right w:type="dxa" w:w="100"/>
            </w:tcMar>
          </w:tcPr>
          <w:p>
            <w:pPr>
              <w:jc w:val="center"/>
            </w:pPr>
            <w:r>
              <w:rPr>
                <w:b w:val="false"/>
                <w:bCs w:val="false"/>
                <w:color w:val="222222"/>
                <w:sz w:val="19"/>
                <w:szCs w:val="19"/>
              </w:rPr>
              <w:t xml:space="preserve">2,212</w:t>
            </w:r>
          </w:p>
        </w:tc>
        <w:tc>
          <w:tcPr>
            <w:tcW w:type="dxa" w:w="1430"/>
            <w:shd w:fill="F2F2F2" w:val="clear"/>
            <w:tcMar>
              <w:top w:type="dxa" w:w="60"/>
              <w:left w:type="dxa" w:w="100"/>
              <w:bottom w:type="dxa" w:w="60"/>
              <w:right w:type="dxa" w:w="100"/>
            </w:tcMar>
          </w:tcPr>
          <w:p>
            <w:pPr>
              <w:jc w:val="center"/>
            </w:pPr>
            <w:r>
              <w:rPr>
                <w:b w:val="false"/>
                <w:bCs w:val="false"/>
                <w:color w:val="222222"/>
                <w:sz w:val="19"/>
                <w:szCs w:val="19"/>
              </w:rPr>
              <w:t xml:space="preserve">2,458</w:t>
            </w:r>
          </w:p>
        </w:tc>
        <w:tc>
          <w:tcPr>
            <w:tcW w:type="dxa" w:w="1430"/>
            <w:shd w:fill="F2F2F2" w:val="clear"/>
            <w:tcMar>
              <w:top w:type="dxa" w:w="60"/>
              <w:left w:type="dxa" w:w="100"/>
              <w:bottom w:type="dxa" w:w="60"/>
              <w:right w:type="dxa" w:w="100"/>
            </w:tcMar>
          </w:tcPr>
          <w:p>
            <w:pPr>
              <w:jc w:val="center"/>
            </w:pPr>
            <w:r>
              <w:rPr>
                <w:b w:val="false"/>
                <w:bCs w:val="false"/>
                <w:color w:val="222222"/>
                <w:sz w:val="19"/>
                <w:szCs w:val="19"/>
              </w:rPr>
              <w:t xml:space="preserve">2,776</w:t>
            </w:r>
          </w:p>
        </w:tc>
        <w:tc>
          <w:tcPr>
            <w:tcW w:type="dxa" w:w="1430"/>
            <w:shd w:fill="F2F2F2" w:val="clear"/>
            <w:tcMar>
              <w:top w:type="dxa" w:w="60"/>
              <w:left w:type="dxa" w:w="100"/>
              <w:bottom w:type="dxa" w:w="60"/>
              <w:right w:type="dxa" w:w="100"/>
            </w:tcMar>
          </w:tcPr>
          <w:p>
            <w:pPr>
              <w:jc w:val="center"/>
            </w:pPr>
            <w:r>
              <w:rPr>
                <w:b w:val="false"/>
                <w:bCs w:val="false"/>
                <w:color w:val="222222"/>
                <w:sz w:val="19"/>
                <w:szCs w:val="19"/>
              </w:rPr>
              <w:t xml:space="preserve">3,204</w:t>
            </w:r>
          </w:p>
        </w:tc>
      </w:tr>
      <w:tr>
        <w:tc>
          <w:tcPr>
            <w:tcW w:type="dxa" w:w="2200"/>
            <w:shd w:fill="FFFFFF" w:val="clear"/>
            <w:tcMar>
              <w:top w:type="dxa" w:w="60"/>
              <w:left w:type="dxa" w:w="100"/>
              <w:bottom w:type="dxa" w:w="60"/>
              <w:right w:type="dxa" w:w="100"/>
            </w:tcMar>
          </w:tcPr>
          <w:p>
            <w:pPr>
              <w:jc w:val="left"/>
            </w:pPr>
            <w:r>
              <w:rPr>
                <w:b/>
                <w:bCs/>
                <w:color w:val="222222"/>
                <w:sz w:val="19"/>
                <w:szCs w:val="19"/>
              </w:rPr>
              <w:t xml:space="preserve">13.8% (base)</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1,794</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1,947</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2,136</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2,374</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2,681</w:t>
            </w:r>
          </w:p>
        </w:tc>
      </w:tr>
      <w:tr>
        <w:tc>
          <w:tcPr>
            <w:tcW w:type="dxa" w:w="2200"/>
            <w:shd w:fill="F2F2F2" w:val="clear"/>
            <w:tcMar>
              <w:top w:type="dxa" w:w="60"/>
              <w:left w:type="dxa" w:w="100"/>
              <w:bottom w:type="dxa" w:w="60"/>
              <w:right w:type="dxa" w:w="100"/>
            </w:tcMar>
          </w:tcPr>
          <w:p>
            <w:pPr>
              <w:jc w:val="left"/>
            </w:pPr>
            <w:r>
              <w:rPr>
                <w:b/>
                <w:bCs/>
                <w:color w:val="222222"/>
                <w:sz w:val="19"/>
                <w:szCs w:val="19"/>
              </w:rPr>
              <w:t xml:space="preserve">14.8%</w:t>
            </w:r>
          </w:p>
        </w:tc>
        <w:tc>
          <w:tcPr>
            <w:tcW w:type="dxa" w:w="1430"/>
            <w:shd w:fill="F2F2F2" w:val="clear"/>
            <w:tcMar>
              <w:top w:type="dxa" w:w="60"/>
              <w:left w:type="dxa" w:w="100"/>
              <w:bottom w:type="dxa" w:w="60"/>
              <w:right w:type="dxa" w:w="100"/>
            </w:tcMar>
          </w:tcPr>
          <w:p>
            <w:pPr>
              <w:jc w:val="center"/>
            </w:pPr>
            <w:r>
              <w:rPr>
                <w:b w:val="false"/>
                <w:bCs w:val="false"/>
                <w:color w:val="222222"/>
                <w:sz w:val="19"/>
                <w:szCs w:val="19"/>
              </w:rPr>
              <w:t xml:space="preserve">1,609</w:t>
            </w:r>
          </w:p>
        </w:tc>
        <w:tc>
          <w:tcPr>
            <w:tcW w:type="dxa" w:w="1430"/>
            <w:shd w:fill="F2F2F2" w:val="clear"/>
            <w:tcMar>
              <w:top w:type="dxa" w:w="60"/>
              <w:left w:type="dxa" w:w="100"/>
              <w:bottom w:type="dxa" w:w="60"/>
              <w:right w:type="dxa" w:w="100"/>
            </w:tcMar>
          </w:tcPr>
          <w:p>
            <w:pPr>
              <w:jc w:val="center"/>
            </w:pPr>
            <w:r>
              <w:rPr>
                <w:b w:val="false"/>
                <w:bCs w:val="false"/>
                <w:color w:val="222222"/>
                <w:sz w:val="19"/>
                <w:szCs w:val="19"/>
              </w:rPr>
              <w:t xml:space="preserve">1,733</w:t>
            </w:r>
          </w:p>
        </w:tc>
        <w:tc>
          <w:tcPr>
            <w:tcW w:type="dxa" w:w="1430"/>
            <w:shd w:fill="F2F2F2" w:val="clear"/>
            <w:tcMar>
              <w:top w:type="dxa" w:w="60"/>
              <w:left w:type="dxa" w:w="100"/>
              <w:bottom w:type="dxa" w:w="60"/>
              <w:right w:type="dxa" w:w="100"/>
            </w:tcMar>
          </w:tcPr>
          <w:p>
            <w:pPr>
              <w:jc w:val="center"/>
            </w:pPr>
            <w:r>
              <w:rPr>
                <w:b w:val="false"/>
                <w:bCs w:val="false"/>
                <w:color w:val="222222"/>
                <w:sz w:val="19"/>
                <w:szCs w:val="19"/>
              </w:rPr>
              <w:t xml:space="preserve">1,881</w:t>
            </w:r>
          </w:p>
        </w:tc>
        <w:tc>
          <w:tcPr>
            <w:tcW w:type="dxa" w:w="1430"/>
            <w:shd w:fill="F2F2F2" w:val="clear"/>
            <w:tcMar>
              <w:top w:type="dxa" w:w="60"/>
              <w:left w:type="dxa" w:w="100"/>
              <w:bottom w:type="dxa" w:w="60"/>
              <w:right w:type="dxa" w:w="100"/>
            </w:tcMar>
          </w:tcPr>
          <w:p>
            <w:pPr>
              <w:jc w:val="center"/>
            </w:pPr>
            <w:r>
              <w:rPr>
                <w:b w:val="false"/>
                <w:bCs w:val="false"/>
                <w:color w:val="222222"/>
                <w:sz w:val="19"/>
                <w:szCs w:val="19"/>
              </w:rPr>
              <w:t xml:space="preserve">2,064</w:t>
            </w:r>
          </w:p>
        </w:tc>
        <w:tc>
          <w:tcPr>
            <w:tcW w:type="dxa" w:w="1430"/>
            <w:shd w:fill="F2F2F2" w:val="clear"/>
            <w:tcMar>
              <w:top w:type="dxa" w:w="60"/>
              <w:left w:type="dxa" w:w="100"/>
              <w:bottom w:type="dxa" w:w="60"/>
              <w:right w:type="dxa" w:w="100"/>
            </w:tcMar>
          </w:tcPr>
          <w:p>
            <w:pPr>
              <w:jc w:val="center"/>
            </w:pPr>
            <w:r>
              <w:rPr>
                <w:b w:val="false"/>
                <w:bCs w:val="false"/>
                <w:color w:val="222222"/>
                <w:sz w:val="19"/>
                <w:szCs w:val="19"/>
              </w:rPr>
              <w:t xml:space="preserve">2,293</w:t>
            </w:r>
          </w:p>
        </w:tc>
      </w:tr>
      <w:tr>
        <w:tc>
          <w:tcPr>
            <w:tcW w:type="dxa" w:w="2200"/>
            <w:shd w:fill="FFFFFF" w:val="clear"/>
            <w:tcMar>
              <w:top w:type="dxa" w:w="60"/>
              <w:left w:type="dxa" w:w="100"/>
              <w:bottom w:type="dxa" w:w="60"/>
              <w:right w:type="dxa" w:w="100"/>
            </w:tcMar>
          </w:tcPr>
          <w:p>
            <w:pPr>
              <w:jc w:val="left"/>
            </w:pPr>
            <w:r>
              <w:rPr>
                <w:b/>
                <w:bCs/>
                <w:color w:val="222222"/>
                <w:sz w:val="19"/>
                <w:szCs w:val="19"/>
              </w:rPr>
              <w:t xml:space="preserve">15.8%</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1,455</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1,555</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1,674</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1,818</w:t>
            </w:r>
          </w:p>
        </w:tc>
        <w:tc>
          <w:tcPr>
            <w:tcW w:type="dxa" w:w="1430"/>
            <w:shd w:fill="FFFFFF" w:val="clear"/>
            <w:tcMar>
              <w:top w:type="dxa" w:w="60"/>
              <w:left w:type="dxa" w:w="100"/>
              <w:bottom w:type="dxa" w:w="60"/>
              <w:right w:type="dxa" w:w="100"/>
            </w:tcMar>
          </w:tcPr>
          <w:p>
            <w:pPr>
              <w:jc w:val="center"/>
            </w:pPr>
            <w:r>
              <w:rPr>
                <w:b w:val="false"/>
                <w:bCs w:val="false"/>
                <w:color w:val="222222"/>
                <w:sz w:val="19"/>
                <w:szCs w:val="19"/>
              </w:rPr>
              <w:t xml:space="preserve">1,994</w:t>
            </w:r>
          </w:p>
        </w:tc>
      </w:tr>
    </w:tbl>
    <w:p>
      <w:pPr>
        <w:pStyle w:val="Heading2"/>
        <w:spacing w:after="140" w:before="280"/>
      </w:pPr>
      <w:r>
        <w:t xml:space="preserve">A2. Monte Carlo Percentile Distribution (₹/share)</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1335"/>
        <w:gridCol w:w="1335"/>
        <w:gridCol w:w="1335"/>
        <w:gridCol w:w="1335"/>
        <w:gridCol w:w="1335"/>
        <w:gridCol w:w="1335"/>
        <w:gridCol w:w="1340"/>
      </w:tblGrid>
      <w:tr>
        <w:trPr>
          <w:tblHeader/>
        </w:trPr>
        <w:tc>
          <w:tcPr>
            <w:tcW w:type="dxa" w:w="1335"/>
            <w:shd w:fill="1F2A44" w:val="clear"/>
            <w:tcMar>
              <w:top w:type="dxa" w:w="60"/>
              <w:left w:type="dxa" w:w="100"/>
              <w:bottom w:type="dxa" w:w="60"/>
              <w:right w:type="dxa" w:w="100"/>
            </w:tcMar>
          </w:tcPr>
          <w:p>
            <w:pPr>
              <w:jc w:val="left"/>
            </w:pPr>
            <w:r>
              <w:rPr>
                <w:b/>
                <w:bCs/>
                <w:color w:val="FFFFFF"/>
                <w:sz w:val="19"/>
                <w:szCs w:val="19"/>
              </w:rPr>
              <w:t xml:space="preserve">P5</w:t>
            </w:r>
          </w:p>
        </w:tc>
        <w:tc>
          <w:tcPr>
            <w:tcW w:type="dxa" w:w="1335"/>
            <w:shd w:fill="1F2A44" w:val="clear"/>
            <w:tcMar>
              <w:top w:type="dxa" w:w="60"/>
              <w:left w:type="dxa" w:w="100"/>
              <w:bottom w:type="dxa" w:w="60"/>
              <w:right w:type="dxa" w:w="100"/>
            </w:tcMar>
          </w:tcPr>
          <w:p>
            <w:pPr>
              <w:jc w:val="center"/>
            </w:pPr>
            <w:r>
              <w:rPr>
                <w:b/>
                <w:bCs/>
                <w:color w:val="FFFFFF"/>
                <w:sz w:val="19"/>
                <w:szCs w:val="19"/>
              </w:rPr>
              <w:t xml:space="preserve">P10</w:t>
            </w:r>
          </w:p>
        </w:tc>
        <w:tc>
          <w:tcPr>
            <w:tcW w:type="dxa" w:w="1335"/>
            <w:shd w:fill="1F2A44" w:val="clear"/>
            <w:tcMar>
              <w:top w:type="dxa" w:w="60"/>
              <w:left w:type="dxa" w:w="100"/>
              <w:bottom w:type="dxa" w:w="60"/>
              <w:right w:type="dxa" w:w="100"/>
            </w:tcMar>
          </w:tcPr>
          <w:p>
            <w:pPr>
              <w:jc w:val="center"/>
            </w:pPr>
            <w:r>
              <w:rPr>
                <w:b/>
                <w:bCs/>
                <w:color w:val="FFFFFF"/>
                <w:sz w:val="19"/>
                <w:szCs w:val="19"/>
              </w:rPr>
              <w:t xml:space="preserve">P25</w:t>
            </w:r>
          </w:p>
        </w:tc>
        <w:tc>
          <w:tcPr>
            <w:tcW w:type="dxa" w:w="1335"/>
            <w:shd w:fill="1F2A44" w:val="clear"/>
            <w:tcMar>
              <w:top w:type="dxa" w:w="60"/>
              <w:left w:type="dxa" w:w="100"/>
              <w:bottom w:type="dxa" w:w="60"/>
              <w:right w:type="dxa" w:w="100"/>
            </w:tcMar>
          </w:tcPr>
          <w:p>
            <w:pPr>
              <w:jc w:val="center"/>
            </w:pPr>
            <w:r>
              <w:rPr>
                <w:b/>
                <w:bCs/>
                <w:color w:val="FFFFFF"/>
                <w:sz w:val="19"/>
                <w:szCs w:val="19"/>
              </w:rPr>
              <w:t xml:space="preserve">P50 (Median)</w:t>
            </w:r>
          </w:p>
        </w:tc>
        <w:tc>
          <w:tcPr>
            <w:tcW w:type="dxa" w:w="1335"/>
            <w:shd w:fill="1F2A44" w:val="clear"/>
            <w:tcMar>
              <w:top w:type="dxa" w:w="60"/>
              <w:left w:type="dxa" w:w="100"/>
              <w:bottom w:type="dxa" w:w="60"/>
              <w:right w:type="dxa" w:w="100"/>
            </w:tcMar>
          </w:tcPr>
          <w:p>
            <w:pPr>
              <w:jc w:val="center"/>
            </w:pPr>
            <w:r>
              <w:rPr>
                <w:b/>
                <w:bCs/>
                <w:color w:val="FFFFFF"/>
                <w:sz w:val="19"/>
                <w:szCs w:val="19"/>
              </w:rPr>
              <w:t xml:space="preserve">P75</w:t>
            </w:r>
          </w:p>
        </w:tc>
        <w:tc>
          <w:tcPr>
            <w:tcW w:type="dxa" w:w="1335"/>
            <w:shd w:fill="1F2A44" w:val="clear"/>
            <w:tcMar>
              <w:top w:type="dxa" w:w="60"/>
              <w:left w:type="dxa" w:w="100"/>
              <w:bottom w:type="dxa" w:w="60"/>
              <w:right w:type="dxa" w:w="100"/>
            </w:tcMar>
          </w:tcPr>
          <w:p>
            <w:pPr>
              <w:jc w:val="center"/>
            </w:pPr>
            <w:r>
              <w:rPr>
                <w:b/>
                <w:bCs/>
                <w:color w:val="FFFFFF"/>
                <w:sz w:val="19"/>
                <w:szCs w:val="19"/>
              </w:rPr>
              <w:t xml:space="preserve">P90</w:t>
            </w:r>
          </w:p>
        </w:tc>
        <w:tc>
          <w:tcPr>
            <w:tcW w:type="dxa" w:w="1340"/>
            <w:shd w:fill="1F2A44" w:val="clear"/>
            <w:tcMar>
              <w:top w:type="dxa" w:w="60"/>
              <w:left w:type="dxa" w:w="100"/>
              <w:bottom w:type="dxa" w:w="60"/>
              <w:right w:type="dxa" w:w="100"/>
            </w:tcMar>
          </w:tcPr>
          <w:p>
            <w:pPr>
              <w:jc w:val="center"/>
            </w:pPr>
            <w:r>
              <w:rPr>
                <w:b/>
                <w:bCs/>
                <w:color w:val="FFFFFF"/>
                <w:sz w:val="19"/>
                <w:szCs w:val="19"/>
              </w:rPr>
              <w:t xml:space="preserve">P95</w:t>
            </w:r>
          </w:p>
        </w:tc>
      </w:tr>
      <w:tr>
        <w:tc>
          <w:tcPr>
            <w:tcW w:type="dxa" w:w="1335"/>
            <w:shd w:fill="FFFFFF" w:val="clear"/>
            <w:tcMar>
              <w:top w:type="dxa" w:w="60"/>
              <w:left w:type="dxa" w:w="100"/>
              <w:bottom w:type="dxa" w:w="60"/>
              <w:right w:type="dxa" w:w="100"/>
            </w:tcMar>
          </w:tcPr>
          <w:p>
            <w:pPr>
              <w:jc w:val="left"/>
            </w:pPr>
            <w:r>
              <w:rPr>
                <w:b/>
                <w:bCs/>
                <w:color w:val="222222"/>
                <w:sz w:val="19"/>
                <w:szCs w:val="19"/>
              </w:rPr>
              <w:t xml:space="preserve">1,435</w:t>
            </w:r>
          </w:p>
        </w:tc>
        <w:tc>
          <w:tcPr>
            <w:tcW w:type="dxa" w:w="1335"/>
            <w:shd w:fill="FFFFFF" w:val="clear"/>
            <w:tcMar>
              <w:top w:type="dxa" w:w="60"/>
              <w:left w:type="dxa" w:w="100"/>
              <w:bottom w:type="dxa" w:w="60"/>
              <w:right w:type="dxa" w:w="100"/>
            </w:tcMar>
          </w:tcPr>
          <w:p>
            <w:pPr>
              <w:jc w:val="center"/>
            </w:pPr>
            <w:r>
              <w:rPr>
                <w:b w:val="false"/>
                <w:bCs w:val="false"/>
                <w:color w:val="222222"/>
                <w:sz w:val="19"/>
                <w:szCs w:val="19"/>
              </w:rPr>
              <w:t xml:space="preserve">1,565</w:t>
            </w:r>
          </w:p>
        </w:tc>
        <w:tc>
          <w:tcPr>
            <w:tcW w:type="dxa" w:w="1335"/>
            <w:shd w:fill="FFFFFF" w:val="clear"/>
            <w:tcMar>
              <w:top w:type="dxa" w:w="60"/>
              <w:left w:type="dxa" w:w="100"/>
              <w:bottom w:type="dxa" w:w="60"/>
              <w:right w:type="dxa" w:w="100"/>
            </w:tcMar>
          </w:tcPr>
          <w:p>
            <w:pPr>
              <w:jc w:val="center"/>
            </w:pPr>
            <w:r>
              <w:rPr>
                <w:b w:val="false"/>
                <w:bCs w:val="false"/>
                <w:color w:val="222222"/>
                <w:sz w:val="19"/>
                <w:szCs w:val="19"/>
              </w:rPr>
              <w:t xml:space="preserve">1,808</w:t>
            </w:r>
          </w:p>
        </w:tc>
        <w:tc>
          <w:tcPr>
            <w:tcW w:type="dxa" w:w="1335"/>
            <w:shd w:fill="FFFFFF" w:val="clear"/>
            <w:tcMar>
              <w:top w:type="dxa" w:w="60"/>
              <w:left w:type="dxa" w:w="100"/>
              <w:bottom w:type="dxa" w:w="60"/>
              <w:right w:type="dxa" w:w="100"/>
            </w:tcMar>
          </w:tcPr>
          <w:p>
            <w:pPr>
              <w:jc w:val="center"/>
            </w:pPr>
            <w:r>
              <w:rPr>
                <w:b w:val="false"/>
                <w:bCs w:val="false"/>
                <w:color w:val="222222"/>
                <w:sz w:val="19"/>
                <w:szCs w:val="19"/>
              </w:rPr>
              <w:t xml:space="preserve">2,121</w:t>
            </w:r>
          </w:p>
        </w:tc>
        <w:tc>
          <w:tcPr>
            <w:tcW w:type="dxa" w:w="1335"/>
            <w:shd w:fill="FFFFFF" w:val="clear"/>
            <w:tcMar>
              <w:top w:type="dxa" w:w="60"/>
              <w:left w:type="dxa" w:w="100"/>
              <w:bottom w:type="dxa" w:w="60"/>
              <w:right w:type="dxa" w:w="100"/>
            </w:tcMar>
          </w:tcPr>
          <w:p>
            <w:pPr>
              <w:jc w:val="center"/>
            </w:pPr>
            <w:r>
              <w:rPr>
                <w:b w:val="false"/>
                <w:bCs w:val="false"/>
                <w:color w:val="222222"/>
                <w:sz w:val="19"/>
                <w:szCs w:val="19"/>
              </w:rPr>
              <w:t xml:space="preserve">2,511</w:t>
            </w:r>
          </w:p>
        </w:tc>
        <w:tc>
          <w:tcPr>
            <w:tcW w:type="dxa" w:w="1335"/>
            <w:shd w:fill="FFFFFF" w:val="clear"/>
            <w:tcMar>
              <w:top w:type="dxa" w:w="60"/>
              <w:left w:type="dxa" w:w="100"/>
              <w:bottom w:type="dxa" w:w="60"/>
              <w:right w:type="dxa" w:w="100"/>
            </w:tcMar>
          </w:tcPr>
          <w:p>
            <w:pPr>
              <w:jc w:val="center"/>
            </w:pPr>
            <w:r>
              <w:rPr>
                <w:b w:val="false"/>
                <w:bCs w:val="false"/>
                <w:color w:val="222222"/>
                <w:sz w:val="19"/>
                <w:szCs w:val="19"/>
              </w:rPr>
              <w:t xml:space="preserve">3,005</w:t>
            </w:r>
          </w:p>
        </w:tc>
        <w:tc>
          <w:tcPr>
            <w:tcW w:type="dxa" w:w="1340"/>
            <w:shd w:fill="FFFFFF" w:val="clear"/>
            <w:tcMar>
              <w:top w:type="dxa" w:w="60"/>
              <w:left w:type="dxa" w:w="100"/>
              <w:bottom w:type="dxa" w:w="60"/>
              <w:right w:type="dxa" w:w="100"/>
            </w:tcMar>
          </w:tcPr>
          <w:p>
            <w:pPr>
              <w:jc w:val="center"/>
            </w:pPr>
            <w:r>
              <w:rPr>
                <w:b w:val="false"/>
                <w:bCs w:val="false"/>
                <w:color w:val="222222"/>
                <w:sz w:val="19"/>
                <w:szCs w:val="19"/>
              </w:rPr>
              <w:t xml:space="preserve">3,382</w:t>
            </w:r>
          </w:p>
        </w:tc>
      </w:tr>
    </w:tbl>
    <w:p>
      <w:pPr>
        <w:pStyle w:val="Heading2"/>
        <w:spacing w:after="140" w:before="280"/>
      </w:pPr>
      <w:r>
        <w:t xml:space="preserve">A3. Peer Comparison</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3350"/>
        <w:gridCol w:w="2000"/>
        <w:gridCol w:w="2000"/>
        <w:gridCol w:w="2000"/>
      </w:tblGrid>
      <w:tr>
        <w:trPr>
          <w:tblHeader/>
        </w:trPr>
        <w:tc>
          <w:tcPr>
            <w:tcW w:type="dxa" w:w="3350"/>
            <w:shd w:fill="1F2A44" w:val="clear"/>
            <w:tcMar>
              <w:top w:type="dxa" w:w="60"/>
              <w:left w:type="dxa" w:w="100"/>
              <w:bottom w:type="dxa" w:w="60"/>
              <w:right w:type="dxa" w:w="100"/>
            </w:tcMar>
          </w:tcPr>
          <w:p>
            <w:pPr>
              <w:jc w:val="left"/>
            </w:pPr>
            <w:r>
              <w:rPr>
                <w:b/>
                <w:bCs/>
                <w:color w:val="FFFFFF"/>
                <w:sz w:val="19"/>
                <w:szCs w:val="19"/>
              </w:rPr>
              <w:t xml:space="preserve">Company</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P/E (x)</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EV/EBITDA (x)</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EBITDA Margin</w:t>
            </w:r>
          </w:p>
        </w:tc>
      </w:tr>
      <w:tr>
        <w:tc>
          <w:tcPr>
            <w:tcW w:type="dxa" w:w="3350"/>
            <w:shd w:fill="FFFFFF" w:val="clear"/>
            <w:tcMar>
              <w:top w:type="dxa" w:w="60"/>
              <w:left w:type="dxa" w:w="100"/>
              <w:bottom w:type="dxa" w:w="60"/>
              <w:right w:type="dxa" w:w="100"/>
            </w:tcMar>
          </w:tcPr>
          <w:p>
            <w:pPr>
              <w:jc w:val="left"/>
            </w:pPr>
            <w:r>
              <w:rPr>
                <w:b/>
                <w:bCs/>
                <w:color w:val="222222"/>
                <w:sz w:val="19"/>
                <w:szCs w:val="19"/>
              </w:rPr>
              <w:t xml:space="preserve">Waaree Energies</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21-29</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14.4</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22.3%</w:t>
            </w:r>
          </w:p>
        </w:tc>
      </w:tr>
      <w:tr>
        <w:tc>
          <w:tcPr>
            <w:tcW w:type="dxa" w:w="3350"/>
            <w:shd w:fill="F2F2F2" w:val="clear"/>
            <w:tcMar>
              <w:top w:type="dxa" w:w="60"/>
              <w:left w:type="dxa" w:w="100"/>
              <w:bottom w:type="dxa" w:w="60"/>
              <w:right w:type="dxa" w:w="100"/>
            </w:tcMar>
          </w:tcPr>
          <w:p>
            <w:pPr>
              <w:jc w:val="left"/>
            </w:pPr>
            <w:r>
              <w:rPr>
                <w:b/>
                <w:bCs/>
                <w:color w:val="222222"/>
                <w:sz w:val="19"/>
                <w:szCs w:val="19"/>
              </w:rPr>
              <w:t xml:space="preserve">Premier Energies</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30.8</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20.2</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27.5%</w:t>
            </w:r>
          </w:p>
        </w:tc>
      </w:tr>
      <w:tr>
        <w:tc>
          <w:tcPr>
            <w:tcW w:type="dxa" w:w="3350"/>
            <w:shd w:fill="FFFFFF" w:val="clear"/>
            <w:tcMar>
              <w:top w:type="dxa" w:w="60"/>
              <w:left w:type="dxa" w:w="100"/>
              <w:bottom w:type="dxa" w:w="60"/>
              <w:right w:type="dxa" w:w="100"/>
            </w:tcMar>
          </w:tcPr>
          <w:p>
            <w:pPr>
              <w:jc w:val="left"/>
            </w:pPr>
            <w:r>
              <w:rPr>
                <w:b/>
                <w:bCs/>
                <w:color w:val="222222"/>
                <w:sz w:val="19"/>
                <w:szCs w:val="19"/>
              </w:rPr>
              <w:t xml:space="preserve">Vikram Solar</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68-72 (IPO-era)</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n/a</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14.4%</w:t>
            </w:r>
          </w:p>
        </w:tc>
      </w:tr>
      <w:tr>
        <w:tc>
          <w:tcPr>
            <w:tcW w:type="dxa" w:w="3350"/>
            <w:shd w:fill="F2F2F2" w:val="clear"/>
            <w:tcMar>
              <w:top w:type="dxa" w:w="60"/>
              <w:left w:type="dxa" w:w="100"/>
              <w:bottom w:type="dxa" w:w="60"/>
              <w:right w:type="dxa" w:w="100"/>
            </w:tcMar>
          </w:tcPr>
          <w:p>
            <w:pPr>
              <w:jc w:val="left"/>
            </w:pPr>
            <w:r>
              <w:rPr>
                <w:b/>
                <w:bCs/>
                <w:color w:val="222222"/>
                <w:sz w:val="19"/>
                <w:szCs w:val="19"/>
              </w:rPr>
              <w:t xml:space="preserve">Websol Energy</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29.7-30.0</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n/a</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44.0%</w:t>
            </w:r>
          </w:p>
        </w:tc>
      </w:tr>
    </w:tbl>
    <w:p>
      <w:pPr>
        <w:pStyle w:val="Heading2"/>
        <w:spacing w:after="140" w:before="280"/>
      </w:pPr>
      <w:r>
        <w:t xml:space="preserve">A4. Sources &amp; Related Deliverables</w:t>
      </w:r>
    </w:p>
    <w:p>
      <w:pPr>
        <w:pStyle w:val="ListParagraph"/>
        <w:numPr>
          <w:ilvl w:val="0"/>
          <w:numId w:val="1"/>
        </w:numPr>
        <w:spacing w:after="85" w:line="270"/>
      </w:pPr>
      <w:r>
        <w:rPr>
          <w:color w:val="222222"/>
          <w:sz w:val="21"/>
          <w:szCs w:val="21"/>
        </w:rPr>
        <w:t xml:space="preserve">Part I — Industry &amp; Company Research, Financial Statement Analysis, Ratio Analysis (Word)</w:t>
      </w:r>
    </w:p>
    <w:p>
      <w:pPr>
        <w:pStyle w:val="ListParagraph"/>
        <w:numPr>
          <w:ilvl w:val="0"/>
          <w:numId w:val="1"/>
        </w:numPr>
        <w:spacing w:after="85" w:line="270"/>
      </w:pPr>
      <w:r>
        <w:rPr>
          <w:color w:val="222222"/>
          <w:sz w:val="21"/>
          <w:szCs w:val="21"/>
        </w:rPr>
        <w:t xml:space="preserve">Part II — DCF &amp; Comparable Company Valuation (Word)</w:t>
      </w:r>
    </w:p>
    <w:p>
      <w:pPr>
        <w:pStyle w:val="ListParagraph"/>
        <w:numPr>
          <w:ilvl w:val="0"/>
          <w:numId w:val="1"/>
        </w:numPr>
        <w:spacing w:after="85" w:line="270"/>
      </w:pPr>
      <w:r>
        <w:rPr>
          <w:color w:val="222222"/>
          <w:sz w:val="21"/>
          <w:szCs w:val="21"/>
        </w:rPr>
        <w:t xml:space="preserve">Part III — Integrated 3-Statement Excel Model with live DCF/Sensitivity (Excel)</w:t>
      </w:r>
    </w:p>
    <w:p>
      <w:pPr>
        <w:pStyle w:val="ListParagraph"/>
        <w:numPr>
          <w:ilvl w:val="0"/>
          <w:numId w:val="1"/>
        </w:numPr>
        <w:spacing w:after="85" w:line="270"/>
      </w:pPr>
      <w:r>
        <w:rPr>
          <w:color w:val="222222"/>
          <w:sz w:val="21"/>
          <w:szCs w:val="21"/>
        </w:rPr>
        <w:t xml:space="preserve">Part IV — Python Ratio, Risk, and Monte Carlo Analytics (Python + Excel)</w:t>
      </w:r>
    </w:p>
    <w:p>
      <w:pPr>
        <w:pStyle w:val="ListParagraph"/>
        <w:numPr>
          <w:ilvl w:val="0"/>
          <w:numId w:val="1"/>
        </w:numPr>
        <w:spacing w:after="85" w:line="270"/>
      </w:pPr>
      <w:r>
        <w:rPr>
          <w:color w:val="222222"/>
          <w:sz w:val="21"/>
          <w:szCs w:val="21"/>
        </w:rPr>
        <w:t xml:space="preserve">Part V — SQL Research Database (SQLite + queries)</w:t>
      </w:r>
    </w:p>
    <w:p>
      <w:pPr>
        <w:pStyle w:val="ListParagraph"/>
        <w:numPr>
          <w:ilvl w:val="0"/>
          <w:numId w:val="1"/>
        </w:numPr>
        <w:spacing w:after="85" w:line="270"/>
      </w:pPr>
      <w:r>
        <w:rPr>
          <w:color w:val="222222"/>
          <w:sz w:val="21"/>
          <w:szCs w:val="21"/>
        </w:rPr>
        <w:t xml:space="preserve">Part VI — Power BI Data Model, DAX Measures, and Dashboard Preview</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Waaree Energies Limited — Equity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8" w:space="4"/>
      </w:pBdr>
      <w:spacing w:after="190" w:before="380"/>
    </w:pPr>
    <w:rPr>
      <w:rFonts w:ascii="Calibri" w:cs="Calibri" w:eastAsia="Calibri" w:hAnsi="Calibri"/>
      <w:b/>
      <w:bCs/>
      <w:color w:val="1F2A44"/>
      <w:sz w:val="29"/>
      <w:szCs w:val="29"/>
    </w:rPr>
  </w:style>
  <w:style w:type="paragraph" w:styleId="Heading2">
    <w:name w:val="Heading 2"/>
    <w:basedOn w:val="Normal"/>
    <w:next w:val="Normal"/>
    <w:qFormat/>
    <w:pPr>
      <w:spacing w:after="140" w:before="280"/>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2026-07-13T17:29:45.092Z</dcterms:created>
  <dcterms:modified xsi:type="dcterms:W3CDTF">2026-07-13T17:29:45.109Z</dcterms:modified>
</cp:coreProperties>
</file>

<file path=docProps/custom.xml><?xml version="1.0" encoding="utf-8"?>
<Properties xmlns="http://schemas.openxmlformats.org/officeDocument/2006/custom-properties" xmlns:vt="http://schemas.openxmlformats.org/officeDocument/2006/docPropsVTypes"/>
</file>