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FluxForge</w:t>
      </w:r>
    </w:p>
    <w:p>
      <w:pPr>
        <w:spacing w:after="80" w:before="0"/>
      </w:pPr>
      <w:r>
        <w:rPr>
          <w:rFonts w:ascii="Arial" w:cs="Arial" w:eastAsia="Arial" w:hAnsi="Arial"/>
          <w:b w:val="false"/>
          <w:bCs w:val="false"/>
          <w:color w:val="2E75B6"/>
          <w:sz w:val="32"/>
          <w:szCs w:val="32"/>
        </w:rPr>
        <w:t xml:space="preserve">Irradiation Condition Optimization for RAFM Steel Activation</w:t>
      </w:r>
    </w:p>
    <w:p>
      <w:pPr>
        <w:spacing w:after="60" w:before="0"/>
      </w:pPr>
      <w:r>
        <w:rPr>
          <w:rFonts w:ascii="Arial" w:cs="Arial" w:eastAsia="Arial" w:hAnsi="Arial"/>
          <w:color w:val="555555"/>
          <w:sz w:val="24"/>
          <w:szCs w:val="24"/>
        </w:rPr>
        <w:t xml:space="preserve">UWNR Irradiation Campaign — INL LDRD Alignment</w:t>
      </w:r>
    </w:p>
    <w:p>
      <w:pPr>
        <w:pBdr>
          <w:bottom w:val="single" w:color="1F4E79" w:sz="8" w:space="1"/>
        </w:pBdr>
        <w:spacing w:after="240" w:before="60"/>
      </w:pPr>
      <w:r>
        <w:rPr>
          <w:rFonts w:ascii="Arial" w:cs="Arial" w:eastAsia="Arial" w:hAnsi="Arial"/>
          <w:i/>
          <w:iCs/>
          <w:color w:val="555555"/>
          <w:sz w:val="22"/>
          <w:szCs w:val="22"/>
        </w:rPr>
        <w:t xml:space="preserve">Method Architecture, Objective Functions, and FluxForge Implementation Roadmap</w:t>
      </w:r>
    </w:p>
    <w:p>
      <w:pPr>
        <w:spacing w:after="120" w:before="200"/>
      </w:pPr>
    </w:p>
    <w:p>
      <w:pPr>
        <w:pStyle w:val="Heading1"/>
        <w:spacing w:after="180" w:before="360"/>
      </w:pPr>
      <w:r>
        <w:rPr>
          <w:rFonts w:ascii="Arial" w:cs="Arial" w:eastAsia="Arial" w:hAnsi="Arial"/>
          <w:b/>
          <w:bCs/>
          <w:color w:val="1F4E79"/>
          <w:sz w:val="32"/>
          <w:szCs w:val="32"/>
        </w:rPr>
        <w:t xml:space="preserve">1. Executive Summary</w:t>
      </w:r>
    </w:p>
    <w:p>
      <w:pPr>
        <w:spacing w:after="120" w:before="80"/>
      </w:pPr>
      <w:r>
        <w:rPr>
          <w:rFonts w:ascii="Arial" w:cs="Arial" w:eastAsia="Arial" w:hAnsi="Arial"/>
          <w:sz w:val="22"/>
          <w:szCs w:val="22"/>
        </w:rPr>
        <w:t xml:space="preserve">This document specifies a four-method optimization architecture for designing RAFM steel irradiation experiments at the University of Wisconsin Nuclear Reactor (UWNR), aligned to the INL Laboratory Directed Research and Development (LDRD) program goals for irradiated RAFM activation characterization. The methods are staged from a deterministic physics baseline through full Bayesian adaptive design, and are specified for direct implementation within FluxForge.</w:t>
      </w:r>
    </w:p>
    <w:p>
      <w:pPr>
        <w:spacing w:after="120" w:before="60"/>
      </w:pPr>
    </w:p>
    <w:p>
      <w:pPr>
        <w:spacing w:after="120" w:before="80"/>
      </w:pPr>
      <w:r>
        <w:rPr>
          <w:rFonts w:ascii="Arial" w:cs="Arial" w:eastAsia="Arial" w:hAnsi="Arial"/>
          <w:b/>
          <w:bCs/>
          <w:sz w:val="22"/>
          <w:szCs w:val="22"/>
        </w:rPr>
        <w:t xml:space="preserve">Goal: </w:t>
      </w:r>
      <w:r>
        <w:rPr>
          <w:rFonts w:ascii="Arial" w:cs="Arial" w:eastAsia="Arial" w:hAnsi="Arial"/>
          <w:sz w:val="22"/>
          <w:szCs w:val="22"/>
        </w:rPr>
        <w:t xml:space="preserve">Determine optimal irradiation time (t</w:t>
      </w:r>
      <w:r>
        <w:rPr>
          <w:rFonts w:ascii="Arial" w:cs="Arial" w:eastAsia="Arial" w:hAnsi="Arial"/>
          <w:sz w:val="22"/>
          <w:szCs w:val="22"/>
        </w:rPr>
        <w:t xml:space="preserve">ᵢᵣᵣ</w:t>
      </w:r>
      <w:r>
        <w:rPr>
          <w:rFonts w:ascii="Arial" w:cs="Arial" w:eastAsia="Arial" w:hAnsi="Arial"/>
          <w:sz w:val="22"/>
          <w:szCs w:val="22"/>
        </w:rPr>
        <w:t xml:space="preserve">), cooldown/decay time (t</w:t>
      </w:r>
      <w:r>
        <w:rPr>
          <w:rFonts w:ascii="Arial" w:cs="Arial" w:eastAsia="Arial" w:hAnsi="Arial"/>
          <w:sz w:val="22"/>
          <w:szCs w:val="22"/>
        </w:rPr>
        <w:t xml:space="preserve">ᵈ</w:t>
      </w:r>
      <w:r>
        <w:rPr>
          <w:rFonts w:ascii="Arial" w:cs="Arial" w:eastAsia="Arial" w:hAnsi="Arial"/>
          <w:sz w:val="22"/>
          <w:szCs w:val="22"/>
        </w:rPr>
        <w:t xml:space="preserve">), and count time (t</w:t>
      </w:r>
      <w:r>
        <w:rPr>
          <w:rFonts w:ascii="Arial" w:cs="Arial" w:eastAsia="Arial" w:hAnsi="Arial"/>
          <w:sz w:val="22"/>
          <w:szCs w:val="22"/>
        </w:rPr>
        <w:t xml:space="preserve">ᶜ</w:t>
      </w:r>
      <w:r>
        <w:rPr>
          <w:rFonts w:ascii="Arial" w:cs="Arial" w:eastAsia="Arial" w:hAnsi="Arial"/>
          <w:sz w:val="22"/>
          <w:szCs w:val="22"/>
        </w:rPr>
        <w:t xml:space="preserve">) such that the final inferred isotopic activities — and their downstream products (shutdown dose, decay heat, long-term activation significance) — are obtained with maximum precision and minimum campaign time, from HPGe gamma spectrometry post-irradiation analysis.</w:t>
      </w:r>
    </w:p>
    <w:p>
      <w:pPr>
        <w:spacing w:after="120" w:before="60"/>
      </w:pPr>
    </w:p>
    <w:p>
      <w:pPr>
        <w:spacing w:after="120" w:before="80"/>
      </w:pPr>
      <w:r>
        <w:rPr>
          <w:rFonts w:ascii="Arial" w:cs="Arial" w:eastAsia="Arial" w:hAnsi="Arial"/>
          <w:sz w:val="22"/>
          <w:szCs w:val="22"/>
        </w:rPr>
        <w:t xml:space="preserve">Three state-of-the-art methods and one novel method are presented. All methods are designed to be additive within FluxForge's existing framework: they extend rather than replace deterministic and manual workflows.</w:t>
      </w:r>
    </w:p>
    <w:p>
      <w:pPr>
        <w:pBdr>
          <w:bottom w:val="single" w:color="2E75B6" w:sz="4" w:space="1"/>
        </w:pBdr>
        <w:spacing w:after="200" w:before="200"/>
      </w:pPr>
    </w:p>
    <w:p>
      <w:pPr>
        <w:pStyle w:val="Heading1"/>
        <w:spacing w:after="180" w:before="360"/>
      </w:pPr>
      <w:r>
        <w:rPr>
          <w:rFonts w:ascii="Arial" w:cs="Arial" w:eastAsia="Arial" w:hAnsi="Arial"/>
          <w:b/>
          <w:bCs/>
          <w:color w:val="1F4E79"/>
          <w:sz w:val="32"/>
          <w:szCs w:val="32"/>
        </w:rPr>
        <w:t xml:space="preserve">2. Experimental Context</w:t>
      </w:r>
    </w:p>
    <w:p>
      <w:pPr>
        <w:pStyle w:val="Heading2"/>
        <w:spacing w:after="120" w:before="300"/>
      </w:pPr>
      <w:r>
        <w:rPr>
          <w:rFonts w:ascii="Arial" w:cs="Arial" w:eastAsia="Arial" w:hAnsi="Arial"/>
          <w:b/>
          <w:bCs/>
          <w:color w:val="2E75B6"/>
          <w:sz w:val="26"/>
          <w:szCs w:val="26"/>
        </w:rPr>
        <w:t xml:space="preserve">2.1 RAFM Steel Composition and Target Isotopes</w:t>
      </w:r>
    </w:p>
    <w:p>
      <w:pPr>
        <w:spacing w:after="120" w:before="80"/>
      </w:pPr>
      <w:r>
        <w:rPr>
          <w:rFonts w:ascii="Arial" w:cs="Arial" w:eastAsia="Arial" w:hAnsi="Arial"/>
          <w:sz w:val="22"/>
          <w:szCs w:val="22"/>
        </w:rPr>
        <w:t xml:space="preserve">Reduced Activation Ferritic/Martensitic (RAFM) steels (e.g., F82H, EUROFER97) are designed with intentionally substituted alloying elements to minimize long-lived activation products. The key matrix and alloying elements, along with their principal thermal-neutron activation products in the UWNR spectrum, are listed below.</w:t>
      </w:r>
    </w:p>
    <w:p>
      <w:pPr>
        <w:spacing w:after="120"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000"/>
        <w:gridCol w:w="1000"/>
        <w:gridCol w:w="1320"/>
        <w:gridCol w:w="30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Approx. wt%</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Product Isotope</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Half-life</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γ (keV)</w:t>
            </w:r>
          </w:p>
        </w:tc>
        <w:tc>
          <w:tcPr>
            <w:tcW w:type="dxa" w:w="1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Reaction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Relevance to INL LDRD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~89%</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⁵⁶Mn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2.58 h</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847, 1811</w:t>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⁵⁶Fe(n,p)</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Fast flux monitor; short-lived tracer</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Fe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~89%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⁵⁹Fe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44.5 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1099, 1292</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⁵⁸Fe(n,γ)</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Long-lived activation; shutdown dose component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~89%</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⁵⁴Mn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312 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835</w:t>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⁵⁴Fe(n,p)</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Dominant long-lived product; fast flux indicator</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Cr</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⁵¹Cr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27.7 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320</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⁵⁰Cr(n,γ)</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Primary Cr tracer; relevant to waste classification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¹⁸⁷W</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23.9 h</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686, 773, 479</w:t>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¹⁸⁶W(n,γ)</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Short-lived W tracer; good for short irradiations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¹⁸⁵W</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75.1 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125</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¹⁸⁴W(n,γ)</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Long-lived W tracer; key activation concern for RAFM</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¹⁸¹W</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121.2 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136</w:t>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¹⁸⁰W(n,γ)</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Dominant long-lived W product; low-energy HPGe challenge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V</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~0.2%</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⁴⁸V</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15.97 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983, 1312</w:t>
            </w:r>
          </w:p>
        </w:tc>
        <w:tc>
          <w:tcPr>
            <w:tcW w:type="dxa" w:w="13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⁴⁷V(n,γ), ⁴⁸Ti(n,p)</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V tracer; also Ti impurity indicator</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Ta</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~0.07%</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¹⁸²Ta</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114.7 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1121, 1189, 68</w:t>
            </w:r>
          </w:p>
        </w:tc>
        <w:tc>
          <w:tcPr>
            <w:tcW w:type="dxa" w:w="1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¹⁸¹Ta(n,γ)</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Highly sensitive activation tracer; low abundance</w:t>
            </w:r>
          </w:p>
        </w:tc>
      </w:tr>
    </w:tbl>
    <w:p>
      <w:pPr>
        <w:spacing w:after="120" w:before="120"/>
      </w:pPr>
    </w:p>
    <w:p>
      <w:pPr>
        <w:pStyle w:val="Heading2"/>
        <w:spacing w:after="120" w:before="300"/>
      </w:pPr>
      <w:r>
        <w:rPr>
          <w:rFonts w:ascii="Arial" w:cs="Arial" w:eastAsia="Arial" w:hAnsi="Arial"/>
          <w:b/>
          <w:bCs/>
          <w:color w:val="2E75B6"/>
          <w:sz w:val="26"/>
          <w:szCs w:val="26"/>
        </w:rPr>
        <w:t xml:space="preserve">2.2 UWNR Flux Conditions</w:t>
      </w:r>
    </w:p>
    <w:p>
      <w:pPr>
        <w:spacing w:after="120" w:before="80"/>
      </w:pPr>
      <w:r>
        <w:rPr>
          <w:rFonts w:ascii="Arial" w:cs="Arial" w:eastAsia="Arial" w:hAnsi="Arial"/>
          <w:sz w:val="22"/>
          <w:szCs w:val="22"/>
        </w:rPr>
        <w:t xml:space="preserve">The UWNR is a 1 MW TRIGA research reactor. Typical irradiation position fluxes are:</w:t>
      </w:r>
    </w:p>
    <w:p>
      <w:pPr>
        <w:pStyle w:val="ListParagraph"/>
        <w:numPr>
          <w:ilvl w:val="0"/>
          <w:numId w:val="2"/>
        </w:numPr>
        <w:spacing w:after="60" w:before="60"/>
        <w:ind w:left="720" w:hanging="360"/>
      </w:pPr>
      <w:r>
        <w:rPr>
          <w:rFonts w:ascii="Arial" w:cs="Arial" w:eastAsia="Arial" w:hAnsi="Arial"/>
          <w:b/>
          <w:bCs/>
          <w:sz w:val="22"/>
          <w:szCs w:val="22"/>
        </w:rPr>
        <w:t xml:space="preserve">Thermal flux (Φₜℎ): </w:t>
      </w:r>
      <w:r>
        <w:rPr>
          <w:rFonts w:ascii="Arial" w:cs="Arial" w:eastAsia="Arial" w:hAnsi="Arial"/>
          <w:sz w:val="22"/>
          <w:szCs w:val="22"/>
        </w:rPr>
        <w:t xml:space="preserve">~1 × 10¹² n·cm⁻²·s⁻¹ (primary rabbit/central thimble positions)</w:t>
      </w:r>
    </w:p>
    <w:p>
      <w:pPr>
        <w:pStyle w:val="ListParagraph"/>
        <w:numPr>
          <w:ilvl w:val="0"/>
          <w:numId w:val="2"/>
        </w:numPr>
        <w:spacing w:after="60" w:before="60"/>
        <w:ind w:left="720" w:hanging="360"/>
      </w:pPr>
      <w:r>
        <w:rPr>
          <w:rFonts w:ascii="Arial" w:cs="Arial" w:eastAsia="Arial" w:hAnsi="Arial"/>
          <w:b/>
          <w:bCs/>
          <w:sz w:val="22"/>
          <w:szCs w:val="22"/>
        </w:rPr>
        <w:t xml:space="preserve">Epithermal flux (Φₑₚᴵ): </w:t>
      </w:r>
      <w:r>
        <w:rPr>
          <w:rFonts w:ascii="Arial" w:cs="Arial" w:eastAsia="Arial" w:hAnsi="Arial"/>
          <w:sz w:val="22"/>
          <w:szCs w:val="22"/>
        </w:rPr>
        <w:t xml:space="preserve">~1–3 × 10¹¹ n·cm⁻²·s⁻¹</w:t>
      </w:r>
    </w:p>
    <w:p>
      <w:pPr>
        <w:pStyle w:val="ListParagraph"/>
        <w:numPr>
          <w:ilvl w:val="0"/>
          <w:numId w:val="2"/>
        </w:numPr>
        <w:spacing w:after="60" w:before="60"/>
        <w:ind w:left="720" w:hanging="360"/>
      </w:pPr>
      <w:r>
        <w:rPr>
          <w:rFonts w:ascii="Arial" w:cs="Arial" w:eastAsia="Arial" w:hAnsi="Arial"/>
          <w:b/>
          <w:bCs/>
          <w:sz w:val="22"/>
          <w:szCs w:val="22"/>
        </w:rPr>
        <w:t xml:space="preserve">Fast flux (Φḟ): </w:t>
      </w:r>
      <w:r>
        <w:rPr>
          <w:rFonts w:ascii="Arial" w:cs="Arial" w:eastAsia="Arial" w:hAnsi="Arial"/>
          <w:sz w:val="22"/>
          <w:szCs w:val="22"/>
        </w:rPr>
        <w:t xml:space="preserve">~5 × 10¹¹ n·cm⁻²·s⁻¹</w:t>
      </w:r>
    </w:p>
    <w:p>
      <w:pPr>
        <w:pStyle w:val="ListParagraph"/>
        <w:numPr>
          <w:ilvl w:val="0"/>
          <w:numId w:val="2"/>
        </w:numPr>
        <w:spacing w:after="60" w:before="60"/>
        <w:ind w:left="720" w:hanging="360"/>
      </w:pPr>
      <w:r>
        <w:rPr>
          <w:rFonts w:ascii="Arial" w:cs="Arial" w:eastAsia="Arial" w:hAnsi="Arial"/>
          <w:b/>
          <w:bCs/>
          <w:sz w:val="22"/>
          <w:szCs w:val="22"/>
        </w:rPr>
        <w:t xml:space="preserve">Cd ratio (Rᶜᵈ): </w:t>
      </w:r>
      <w:r>
        <w:rPr>
          <w:rFonts w:ascii="Arial" w:cs="Arial" w:eastAsia="Arial" w:hAnsi="Arial"/>
          <w:sz w:val="22"/>
          <w:szCs w:val="22"/>
        </w:rPr>
        <w:t xml:space="preserve">~10–20 depending on position (tunable via Cd covers for epithermal separation)</w:t>
      </w:r>
    </w:p>
    <w:p>
      <w:pPr>
        <w:spacing w:after="120" w:before="80"/>
      </w:pPr>
    </w:p>
    <w:p>
      <w:pPr>
        <w:spacing w:after="120" w:before="80"/>
      </w:pPr>
      <w:r>
        <w:rPr>
          <w:rFonts w:ascii="Arial" w:cs="Arial" w:eastAsia="Arial" w:hAnsi="Arial"/>
          <w:sz w:val="22"/>
          <w:szCs w:val="22"/>
        </w:rPr>
        <w:t xml:space="preserve">The fast flux component is critical for RAFM because threshold reactions such as ⁵⁴Fe(n,p)→⁵⁴Mn and ⁵⁶Fe(n,p)→⁵⁶Mn are the only production pathways for these important tracers. The UWNR flux spectrum must therefore be characterized or computed (e.g., via MCNP) at the candidate irradiation position before optimization.</w:t>
      </w:r>
    </w:p>
    <w:p>
      <w:pPr>
        <w:pStyle w:val="Heading2"/>
        <w:spacing w:after="120" w:before="300"/>
      </w:pPr>
      <w:r>
        <w:rPr>
          <w:rFonts w:ascii="Arial" w:cs="Arial" w:eastAsia="Arial" w:hAnsi="Arial"/>
          <w:b/>
          <w:bCs/>
          <w:color w:val="2E75B6"/>
          <w:sz w:val="26"/>
          <w:szCs w:val="26"/>
        </w:rPr>
        <w:t xml:space="preserve">2.3 INL LDRD Goals Relevant to Optimization</w:t>
      </w:r>
    </w:p>
    <w:p>
      <w:pPr>
        <w:spacing w:after="120" w:before="80"/>
      </w:pPr>
      <w:r>
        <w:rPr>
          <w:rFonts w:ascii="Arial" w:cs="Arial" w:eastAsia="Arial" w:hAnsi="Arial"/>
          <w:sz w:val="22"/>
          <w:szCs w:val="22"/>
        </w:rPr>
        <w:t xml:space="preserve">The INL LDRD program goals that directly constrain the optimization problem are:</w:t>
      </w:r>
    </w:p>
    <w:p>
      <w:pPr>
        <w:pStyle w:val="ListParagraph"/>
        <w:numPr>
          <w:ilvl w:val="0"/>
          <w:numId w:val="3"/>
        </w:numPr>
        <w:spacing w:after="60" w:before="60"/>
        <w:ind w:left="720" w:hanging="360"/>
      </w:pPr>
      <w:r>
        <w:rPr>
          <w:rFonts w:ascii="Arial" w:cs="Arial" w:eastAsia="Arial" w:hAnsi="Arial"/>
          <w:sz w:val="22"/>
          <w:szCs w:val="22"/>
        </w:rPr>
        <w:t xml:space="preserve">Measure post-irradiation isotopic activities with sufficient precision to validate activation transport codes (ORIGEN, FISPACT-II, OpenMC) at the 5–10% level.</w:t>
      </w:r>
    </w:p>
    <w:p>
      <w:pPr>
        <w:pStyle w:val="ListParagraph"/>
        <w:numPr>
          <w:ilvl w:val="0"/>
          <w:numId w:val="3"/>
        </w:numPr>
        <w:spacing w:after="60" w:before="60"/>
        <w:ind w:left="720" w:hanging="360"/>
      </w:pPr>
      <w:r>
        <w:rPr>
          <w:rFonts w:ascii="Arial" w:cs="Arial" w:eastAsia="Arial" w:hAnsi="Arial"/>
          <w:sz w:val="22"/>
          <w:szCs w:val="22"/>
        </w:rPr>
        <w:t xml:space="preserve">Characterize shutdown dose rate contributions from dominant isotopes (⁵⁴Mn, ⁹Fe, ⁴₂Ta, ⁸ⁱ/₁₅W) at time windows relevant to maintenance and waste classification.</w:t>
      </w:r>
    </w:p>
    <w:p>
      <w:pPr>
        <w:pStyle w:val="ListParagraph"/>
        <w:numPr>
          <w:ilvl w:val="0"/>
          <w:numId w:val="3"/>
        </w:numPr>
        <w:spacing w:after="60" w:before="60"/>
        <w:ind w:left="720" w:hanging="360"/>
      </w:pPr>
      <w:r>
        <w:rPr>
          <w:rFonts w:ascii="Arial" w:cs="Arial" w:eastAsia="Arial" w:hAnsi="Arial"/>
          <w:sz w:val="22"/>
          <w:szCs w:val="22"/>
        </w:rPr>
        <w:t xml:space="preserve">Identify and quantify any unexpected trace-element activation products that could affect waste classification (e.g., Co, Ni, Mo, Nb impurities).</w:t>
      </w:r>
    </w:p>
    <w:p>
      <w:pPr>
        <w:pStyle w:val="ListParagraph"/>
        <w:numPr>
          <w:ilvl w:val="0"/>
          <w:numId w:val="3"/>
        </w:numPr>
        <w:spacing w:after="60" w:before="60"/>
        <w:ind w:left="720" w:hanging="360"/>
      </w:pPr>
      <w:r>
        <w:rPr>
          <w:rFonts w:ascii="Arial" w:cs="Arial" w:eastAsia="Arial" w:hAnsi="Arial"/>
          <w:sz w:val="22"/>
          <w:szCs w:val="22"/>
        </w:rPr>
        <w:t xml:space="preserve">Provide machine-readable isotopic inventory tables with uncertainty for model-comparison workflows.</w:t>
      </w:r>
    </w:p>
    <w:p>
      <w:pPr>
        <w:spacing w:after="120" w:before="60"/>
      </w:pPr>
    </w:p>
    <w:p>
      <w:pPr>
        <w:spacing w:after="120" w:before="80"/>
      </w:pPr>
      <w:r>
        <w:rPr>
          <w:rFonts w:ascii="Arial" w:cs="Arial" w:eastAsia="Arial" w:hAnsi="Arial"/>
          <w:sz w:val="22"/>
          <w:szCs w:val="22"/>
        </w:rPr>
        <w:t xml:space="preserve">These goals impose a multi-objective optimization: the irradiation schedule must simultaneously provide good statistics on short-lived (hours), medium-lived (days–weeks), and long-lived (months) isotopes, which have inherently conflicting optimal irradiation and decay windows.</w:t>
      </w:r>
    </w:p>
    <w:p>
      <w:pPr>
        <w:pBdr>
          <w:bottom w:val="single" w:color="2E75B6" w:sz="4" w:space="1"/>
        </w:pBdr>
        <w:spacing w:after="200" w:before="200"/>
      </w:pPr>
    </w:p>
    <w:p>
      <w:r>
        <w:br w:type="page"/>
      </w:r>
    </w:p>
    <w:p>
      <w:pPr>
        <w:pStyle w:val="Heading1"/>
        <w:spacing w:after="180" w:before="360"/>
      </w:pPr>
      <w:r>
        <w:rPr>
          <w:rFonts w:ascii="Arial" w:cs="Arial" w:eastAsia="Arial" w:hAnsi="Arial"/>
          <w:b/>
          <w:bCs/>
          <w:color w:val="1F4E79"/>
          <w:sz w:val="32"/>
          <w:szCs w:val="32"/>
        </w:rPr>
        <w:t xml:space="preserve">3. Shared Physics Forward Model</w:t>
      </w:r>
    </w:p>
    <w:p>
      <w:pPr>
        <w:spacing w:after="120" w:before="80"/>
      </w:pPr>
      <w:r>
        <w:rPr>
          <w:rFonts w:ascii="Arial" w:cs="Arial" w:eastAsia="Arial" w:hAnsi="Arial"/>
          <w:sz w:val="22"/>
          <w:szCs w:val="22"/>
        </w:rPr>
        <w:t xml:space="preserve">All four methods share the same underlying forward model. This model must be implemented in FluxForge before any optimizer can function.</w:t>
      </w:r>
    </w:p>
    <w:p>
      <w:pPr>
        <w:pStyle w:val="Heading2"/>
        <w:spacing w:after="120" w:before="300"/>
      </w:pPr>
      <w:r>
        <w:rPr>
          <w:rFonts w:ascii="Arial" w:cs="Arial" w:eastAsia="Arial" w:hAnsi="Arial"/>
          <w:b/>
          <w:bCs/>
          <w:color w:val="2E75B6"/>
          <w:sz w:val="26"/>
          <w:szCs w:val="26"/>
        </w:rPr>
        <w:t xml:space="preserve">3.1 Bateman Activation–Decay Equations</w:t>
      </w:r>
    </w:p>
    <w:p>
      <w:pPr>
        <w:spacing w:after="120" w:before="80"/>
      </w:pPr>
      <w:r>
        <w:rPr>
          <w:rFonts w:ascii="Arial" w:cs="Arial" w:eastAsia="Arial" w:hAnsi="Arial"/>
          <w:sz w:val="22"/>
          <w:szCs w:val="22"/>
        </w:rPr>
        <w:t xml:space="preserve">For a target nuclide k irradiated in flux Φ for time tᵢᵣᵣ, the end-of-irradiation activity is:</w:t>
      </w:r>
    </w:p>
    <w:p>
      <w:pPr>
        <w:spacing w:after="160" w:before="160"/>
        <w:jc w:val="center"/>
      </w:pPr>
      <w:r>
        <w:rPr>
          <w:rFonts w:ascii="Courier New" w:cs="Courier New" w:eastAsia="Courier New" w:hAnsi="Courier New"/>
          <w:b/>
          <w:bCs/>
          <w:sz w:val="22"/>
          <w:szCs w:val="22"/>
        </w:rPr>
        <w:t xml:space="preserve">Aᵏ(tᵢᵣᵣ) = Nᵏ σᵏ Φ · (1 − e^(−λᵏ · tᵢᵣᵣ))</w:t>
      </w:r>
    </w:p>
    <w:p>
      <w:pPr>
        <w:spacing w:after="120" w:before="80"/>
      </w:pPr>
      <w:r>
        <w:rPr>
          <w:rFonts w:ascii="Arial" w:cs="Arial" w:eastAsia="Arial" w:hAnsi="Arial"/>
          <w:sz w:val="22"/>
          <w:szCs w:val="22"/>
        </w:rPr>
        <w:t xml:space="preserve">where N</w:t>
      </w:r>
      <w:r>
        <w:rPr>
          <w:rFonts w:ascii="Arial" w:cs="Arial" w:eastAsia="Arial" w:hAnsi="Arial"/>
          <w:sz w:val="22"/>
          <w:szCs w:val="22"/>
        </w:rPr>
        <w:t xml:space="preserve">ᵏ</w:t>
      </w:r>
      <w:r>
        <w:rPr>
          <w:rFonts w:ascii="Arial" w:cs="Arial" w:eastAsia="Arial" w:hAnsi="Arial"/>
          <w:sz w:val="22"/>
          <w:szCs w:val="22"/>
        </w:rPr>
        <w:t xml:space="preserve"> is the number of target atoms (from sample mass and isotopic abundance), σ</w:t>
      </w:r>
      <w:r>
        <w:rPr>
          <w:rFonts w:ascii="Arial" w:cs="Arial" w:eastAsia="Arial" w:hAnsi="Arial"/>
          <w:sz w:val="22"/>
          <w:szCs w:val="22"/>
        </w:rPr>
        <w:t xml:space="preserve">ᵏ</w:t>
      </w:r>
      <w:r>
        <w:rPr>
          <w:rFonts w:ascii="Arial" w:cs="Arial" w:eastAsia="Arial" w:hAnsi="Arial"/>
          <w:sz w:val="22"/>
          <w:szCs w:val="22"/>
        </w:rPr>
        <w:t xml:space="preserve"> is the activation cross-section (thermal or effective), Φ is the position-specific flux, and λ</w:t>
      </w:r>
      <w:r>
        <w:rPr>
          <w:rFonts w:ascii="Arial" w:cs="Arial" w:eastAsia="Arial" w:hAnsi="Arial"/>
          <w:sz w:val="22"/>
          <w:szCs w:val="22"/>
        </w:rPr>
        <w:t xml:space="preserve">ᵏ</w:t>
      </w:r>
      <w:r>
        <w:rPr>
          <w:rFonts w:ascii="Arial" w:cs="Arial" w:eastAsia="Arial" w:hAnsi="Arial"/>
          <w:sz w:val="22"/>
          <w:szCs w:val="22"/>
        </w:rPr>
        <w:t xml:space="preserve"> = ln(2)/T</w:t>
      </w:r>
      <w:r>
        <w:rPr>
          <w:rFonts w:ascii="Arial" w:cs="Arial" w:eastAsia="Arial" w:hAnsi="Arial"/>
          <w:sz w:val="22"/>
          <w:szCs w:val="22"/>
        </w:rPr>
        <w:t xml:space="preserve">½</w:t>
      </w:r>
      <w:r>
        <w:rPr>
          <w:rFonts w:ascii="Arial" w:cs="Arial" w:eastAsia="Arial" w:hAnsi="Arial"/>
          <w:sz w:val="22"/>
          <w:szCs w:val="22"/>
        </w:rPr>
        <w:t xml:space="preserve"> is the decay constant.</w:t>
      </w:r>
    </w:p>
    <w:p>
      <w:pPr>
        <w:spacing w:after="120" w:before="80"/>
      </w:pPr>
    </w:p>
    <w:p>
      <w:pPr>
        <w:spacing w:after="120" w:before="80"/>
      </w:pPr>
      <w:r>
        <w:rPr>
          <w:rFonts w:ascii="Arial" w:cs="Arial" w:eastAsia="Arial" w:hAnsi="Arial"/>
          <w:sz w:val="22"/>
          <w:szCs w:val="22"/>
        </w:rPr>
        <w:t xml:space="preserve">After a cooldown period tᵈ following end of irradiation, the activity is:</w:t>
      </w:r>
    </w:p>
    <w:p>
      <w:pPr>
        <w:spacing w:after="160" w:before="160"/>
        <w:jc w:val="center"/>
      </w:pPr>
      <w:r>
        <w:rPr>
          <w:rFonts w:ascii="Courier New" w:cs="Courier New" w:eastAsia="Courier New" w:hAnsi="Courier New"/>
          <w:b/>
          <w:bCs/>
          <w:sz w:val="22"/>
          <w:szCs w:val="22"/>
        </w:rPr>
        <w:t xml:space="preserve">Aᵏ(tᵈ) = Aᵏ(tᵢᵣᵣ) · e^(−λᵏ · tᵈ)</w:t>
      </w:r>
    </w:p>
    <w:p>
      <w:pPr>
        <w:spacing w:after="120" w:before="80"/>
      </w:pPr>
      <w:r>
        <w:rPr>
          <w:rFonts w:ascii="Arial" w:cs="Arial" w:eastAsia="Arial" w:hAnsi="Arial"/>
          <w:sz w:val="22"/>
          <w:szCs w:val="22"/>
        </w:rPr>
        <w:t xml:space="preserve">For isotopes produced through a parent-daughter chain (e.g., ¹⁸⁶W(n,γ)→¹⁸⁷W→¹⁸⁷Re), the full Bateman chain solution must be applied. FluxForge should use a matrix exponential solver (e.g., CRAM or Pade approximation) for generality.</w:t>
      </w:r>
    </w:p>
    <w:p>
      <w:pPr>
        <w:pStyle w:val="Heading2"/>
        <w:spacing w:after="120" w:before="300"/>
      </w:pPr>
      <w:r>
        <w:rPr>
          <w:rFonts w:ascii="Arial" w:cs="Arial" w:eastAsia="Arial" w:hAnsi="Arial"/>
          <w:b/>
          <w:bCs/>
          <w:color w:val="2E75B6"/>
          <w:sz w:val="26"/>
          <w:szCs w:val="26"/>
        </w:rPr>
        <w:t xml:space="preserve">3.2 Expected Peak Counts in HPGe</w:t>
      </w:r>
    </w:p>
    <w:p>
      <w:pPr>
        <w:spacing w:after="120" w:before="80"/>
      </w:pPr>
      <w:r>
        <w:rPr>
          <w:rFonts w:ascii="Arial" w:cs="Arial" w:eastAsia="Arial" w:hAnsi="Arial"/>
          <w:sz w:val="22"/>
          <w:szCs w:val="22"/>
        </w:rPr>
        <w:t xml:space="preserve">The expected net counts in a photopeak at energy Eᵢⱼ for isotope i, gamma line j, during a count of duration tᶜ starting at decay time tᵈ:</w:t>
      </w:r>
    </w:p>
    <w:p>
      <w:pPr>
        <w:spacing w:after="160" w:before="160"/>
        <w:jc w:val="center"/>
      </w:pPr>
      <w:r>
        <w:rPr>
          <w:rFonts w:ascii="Courier New" w:cs="Courier New" w:eastAsia="Courier New" w:hAnsi="Courier New"/>
          <w:b/>
          <w:bCs/>
          <w:sz w:val="22"/>
          <w:szCs w:val="22"/>
        </w:rPr>
        <w:t xml:space="preserve">Cᵢⱼ = Aᵢ(tᵈ) · ε(Eᵢⱼ) · Iγᵢⱼ · [(1 − e^(−λᵢ·tᶜ)) / λᵢ] · fᵈᵜ</w:t>
      </w:r>
    </w:p>
    <w:p>
      <w:pPr>
        <w:spacing w:after="120" w:before="80"/>
      </w:pPr>
      <w:r>
        <w:rPr>
          <w:rFonts w:ascii="Arial" w:cs="Arial" w:eastAsia="Arial" w:hAnsi="Arial"/>
          <w:sz w:val="22"/>
          <w:szCs w:val="22"/>
        </w:rPr>
        <w:t xml:space="preserve">where ε(E) is the HPGe full-energy peak efficiency at energy E, Iγ is the gamma emission intensity (photons per decay), and fᵈᵜ is a dead-time correction factor. The factor [(1−e^(−λ tᶜ))/λ] accounts for decay during counting and reduces to tᶜ for long-lived isotopes (λ tᶜ ≪ 1).</w:t>
      </w:r>
    </w:p>
    <w:p>
      <w:pPr>
        <w:pStyle w:val="Heading2"/>
        <w:spacing w:after="120" w:before="300"/>
      </w:pPr>
      <w:r>
        <w:rPr>
          <w:rFonts w:ascii="Arial" w:cs="Arial" w:eastAsia="Arial" w:hAnsi="Arial"/>
          <w:b/>
          <w:bCs/>
          <w:color w:val="2E75B6"/>
          <w:sz w:val="26"/>
          <w:szCs w:val="26"/>
        </w:rPr>
        <w:t xml:space="preserve">3.3 Statistical Uncertainty Model</w:t>
      </w:r>
    </w:p>
    <w:p>
      <w:pPr>
        <w:spacing w:after="120" w:before="80"/>
      </w:pPr>
      <w:r>
        <w:rPr>
          <w:rFonts w:ascii="Arial" w:cs="Arial" w:eastAsia="Arial" w:hAnsi="Arial"/>
          <w:sz w:val="22"/>
          <w:szCs w:val="22"/>
        </w:rPr>
        <w:t xml:space="preserve">For a peak with gross counts Cᵏᵢᵣᵣᵒ and estimated background under the peak B, the net counts are Cᵏᵉᵗ = Cᵏᵢᵣᵣᵒ − B, and the fractional counting uncertainty in activity is:</w:t>
      </w:r>
    </w:p>
    <w:p>
      <w:pPr>
        <w:spacing w:after="160" w:before="160"/>
        <w:jc w:val="center"/>
      </w:pPr>
      <w:r>
        <w:rPr>
          <w:rFonts w:ascii="Courier New" w:cs="Courier New" w:eastAsia="Courier New" w:hAnsi="Courier New"/>
          <w:b/>
          <w:bCs/>
          <w:sz w:val="22"/>
          <w:szCs w:val="22"/>
        </w:rPr>
        <w:t xml:space="preserve">σᴬ/A = √(Cᵏᵢᵣᵣᵒ + B) / Cᵏᵉᵗ</w:t>
      </w:r>
    </w:p>
    <w:p>
      <w:pPr>
        <w:spacing w:after="120" w:before="80"/>
      </w:pPr>
      <w:r>
        <w:rPr>
          <w:rFonts w:ascii="Arial" w:cs="Arial" w:eastAsia="Arial" w:hAnsi="Arial"/>
          <w:sz w:val="22"/>
          <w:szCs w:val="22"/>
        </w:rPr>
        <w:t xml:space="preserve">This is the fundamental quantity to minimize. Background B is estimated from sidebands and scales with detector dead time and competing isotope Compton continua, making it implicitly dependent on the full isotope inventory.</w:t>
      </w:r>
    </w:p>
    <w:p>
      <w:pPr>
        <w:pStyle w:val="Heading2"/>
        <w:spacing w:after="120" w:before="300"/>
      </w:pPr>
      <w:r>
        <w:rPr>
          <w:rFonts w:ascii="Arial" w:cs="Arial" w:eastAsia="Arial" w:hAnsi="Arial"/>
          <w:b/>
          <w:bCs/>
          <w:color w:val="2E75B6"/>
          <w:sz w:val="26"/>
          <w:szCs w:val="26"/>
        </w:rPr>
        <w:t xml:space="preserve">3.4 Masking / Spectral Interference Score</w:t>
      </w:r>
    </w:p>
    <w:p>
      <w:pPr>
        <w:spacing w:after="120" w:before="80"/>
      </w:pPr>
      <w:r>
        <w:rPr>
          <w:rFonts w:ascii="Arial" w:cs="Arial" w:eastAsia="Arial" w:hAnsi="Arial"/>
          <w:sz w:val="22"/>
          <w:szCs w:val="22"/>
        </w:rPr>
        <w:t xml:space="preserve">A masking score Mᵢⱼ quantifies the degree to which a target peak is contaminated by a competing isotope m:</w:t>
      </w:r>
    </w:p>
    <w:p>
      <w:pPr>
        <w:spacing w:after="160" w:before="160"/>
        <w:jc w:val="center"/>
      </w:pPr>
      <w:r>
        <w:rPr>
          <w:rFonts w:ascii="Courier New" w:cs="Courier New" w:eastAsia="Courier New" w:hAnsi="Courier New"/>
          <w:b/>
          <w:bCs/>
          <w:sz w:val="22"/>
          <w:szCs w:val="22"/>
        </w:rPr>
        <w:t xml:space="preserve">Mᵢⱼ = Σ_m [ Cᵐⱼᵒ(Eᵢⱼ) / (Cᵢⱼ + Cᵐⱼᵒ(Eᵢⱼ)) ]</w:t>
      </w:r>
    </w:p>
    <w:p>
      <w:pPr>
        <w:spacing w:after="120" w:before="80"/>
      </w:pPr>
      <w:r>
        <w:rPr>
          <w:rFonts w:ascii="Arial" w:cs="Arial" w:eastAsia="Arial" w:hAnsi="Arial"/>
          <w:sz w:val="22"/>
          <w:szCs w:val="22"/>
        </w:rPr>
        <w:t xml:space="preserve">where Cᵐⱼᵒ(Eᵢⱼ) is the predicted counts from interfering isotope m in the ROI of peak j. Peaks with M &gt; 0.1 should be flagged and either excluded or deconvolved. This score is time-dependent; some masking isotopes decay away and clean up a peak at later decay times.</w:t>
      </w:r>
    </w:p>
    <w:p>
      <w:pPr>
        <w:pBdr>
          <w:bottom w:val="single" w:color="2E75B6" w:sz="4" w:space="1"/>
        </w:pBdr>
        <w:spacing w:after="200" w:before="200"/>
      </w:pPr>
    </w:p>
    <w:p>
      <w:r>
        <w:br w:type="page"/>
      </w:r>
    </w:p>
    <w:p>
      <w:pPr>
        <w:pStyle w:val="Heading1"/>
        <w:spacing w:after="180" w:before="360"/>
      </w:pPr>
      <w:r>
        <w:rPr>
          <w:rFonts w:ascii="Arial" w:cs="Arial" w:eastAsia="Arial" w:hAnsi="Arial"/>
          <w:b/>
          <w:bCs/>
          <w:color w:val="1F4E79"/>
          <w:sz w:val="32"/>
          <w:szCs w:val="32"/>
        </w:rPr>
        <w:t xml:space="preserve">4. Method 1 (State-of-the-Art): Deterministic Multi-Peak Uncertainty Minimization</w:t>
      </w:r>
    </w:p>
    <w:p>
      <w:pPr>
        <w:spacing w:after="120" w:before="80"/>
      </w:pPr>
      <w:r>
        <w:rPr>
          <w:rFonts w:ascii="Arial" w:cs="Arial" w:eastAsia="Arial" w:hAnsi="Arial"/>
          <w:i/>
          <w:iCs/>
          <w:sz w:val="22"/>
          <w:szCs w:val="22"/>
        </w:rPr>
        <w:t xml:space="preserve">Based on: </w:t>
      </w:r>
      <w:r>
        <w:rPr>
          <w:rFonts w:ascii="Arial" w:cs="Arial" w:eastAsia="Arial" w:hAnsi="Arial"/>
          <w:sz w:val="22"/>
          <w:szCs w:val="22"/>
        </w:rPr>
        <w:t xml:space="preserve">Watterson (1975), Burgess (1987), Nisti et al. (2020), Guembou Shouop et al. (2017)</w:t>
      </w:r>
    </w:p>
    <w:p>
      <w:pPr>
        <w:pStyle w:val="Heading2"/>
        <w:spacing w:after="120" w:before="300"/>
      </w:pPr>
      <w:r>
        <w:rPr>
          <w:rFonts w:ascii="Arial" w:cs="Arial" w:eastAsia="Arial" w:hAnsi="Arial"/>
          <w:b/>
          <w:bCs/>
          <w:color w:val="2E75B6"/>
          <w:sz w:val="26"/>
          <w:szCs w:val="26"/>
        </w:rPr>
        <w:t xml:space="preserve">4.1 Overview</w:t>
      </w:r>
    </w:p>
    <w:p>
      <w:pPr>
        <w:spacing w:after="120" w:before="80"/>
      </w:pPr>
      <w:r>
        <w:rPr>
          <w:rFonts w:ascii="Arial" w:cs="Arial" w:eastAsia="Arial" w:hAnsi="Arial"/>
          <w:sz w:val="22"/>
          <w:szCs w:val="22"/>
        </w:rPr>
        <w:t xml:space="preserve">This is the foundational, computationally inexpensive optimizer. It treats irradiation, decay, and count scheduling as a deterministic optimization problem over predicted photopeak counting statistics. It is the baseline all subsequent methods extend.</w:t>
      </w:r>
    </w:p>
    <w:p>
      <w:pPr>
        <w:pStyle w:val="Heading2"/>
        <w:spacing w:after="120" w:before="300"/>
      </w:pPr>
      <w:r>
        <w:rPr>
          <w:rFonts w:ascii="Arial" w:cs="Arial" w:eastAsia="Arial" w:hAnsi="Arial"/>
          <w:b/>
          <w:bCs/>
          <w:color w:val="2E75B6"/>
          <w:sz w:val="26"/>
          <w:szCs w:val="26"/>
        </w:rPr>
        <w:t xml:space="preserve">4.2 Decision Variables</w:t>
      </w:r>
    </w:p>
    <w:p>
      <w:pPr>
        <w:pStyle w:val="ListParagraph"/>
        <w:numPr>
          <w:ilvl w:val="0"/>
          <w:numId w:val="2"/>
        </w:numPr>
        <w:spacing w:after="60" w:before="60"/>
        <w:ind w:left="720" w:hanging="360"/>
      </w:pPr>
      <w:r>
        <w:rPr>
          <w:rFonts w:ascii="Arial" w:cs="Arial" w:eastAsia="Arial" w:hAnsi="Arial"/>
          <w:b/>
          <w:bCs/>
          <w:sz w:val="22"/>
          <w:szCs w:val="22"/>
        </w:rPr>
        <w:t xml:space="preserve">tᵢᵣᵣ: </w:t>
      </w:r>
      <w:r>
        <w:rPr>
          <w:rFonts w:ascii="Arial" w:cs="Arial" w:eastAsia="Arial" w:hAnsi="Arial"/>
          <w:sz w:val="22"/>
          <w:szCs w:val="22"/>
        </w:rPr>
        <w:t xml:space="preserve">Irradiation duration [seconds]. Bounded: [60 s, Tᵐᵎˣ]</w:t>
      </w:r>
    </w:p>
    <w:p>
      <w:pPr>
        <w:pStyle w:val="ListParagraph"/>
        <w:numPr>
          <w:ilvl w:val="0"/>
          <w:numId w:val="2"/>
        </w:numPr>
        <w:spacing w:after="60" w:before="60"/>
        <w:ind w:left="720" w:hanging="360"/>
      </w:pPr>
      <w:r>
        <w:rPr>
          <w:rFonts w:ascii="Arial" w:cs="Arial" w:eastAsia="Arial" w:hAnsi="Arial"/>
          <w:b/>
          <w:bCs/>
          <w:sz w:val="22"/>
          <w:szCs w:val="22"/>
        </w:rPr>
        <w:t xml:space="preserve">tᵈ: </w:t>
      </w:r>
      <w:r>
        <w:rPr>
          <w:rFonts w:ascii="Arial" w:cs="Arial" w:eastAsia="Arial" w:hAnsi="Arial"/>
          <w:sz w:val="22"/>
          <w:szCs w:val="22"/>
        </w:rPr>
        <w:t xml:space="preserve">Cooldown/decay time from end of irradiation to start of counting [seconds]. Bounded: [0, Tᵐᵎˣ]</w:t>
      </w:r>
    </w:p>
    <w:p>
      <w:pPr>
        <w:pStyle w:val="ListParagraph"/>
        <w:numPr>
          <w:ilvl w:val="0"/>
          <w:numId w:val="2"/>
        </w:numPr>
        <w:spacing w:after="60" w:before="60"/>
        <w:ind w:left="720" w:hanging="360"/>
      </w:pPr>
      <w:r>
        <w:rPr>
          <w:rFonts w:ascii="Arial" w:cs="Arial" w:eastAsia="Arial" w:hAnsi="Arial"/>
          <w:b/>
          <w:bCs/>
          <w:sz w:val="22"/>
          <w:szCs w:val="22"/>
        </w:rPr>
        <w:t xml:space="preserve">tᶜ: </w:t>
      </w:r>
      <w:r>
        <w:rPr>
          <w:rFonts w:ascii="Arial" w:cs="Arial" w:eastAsia="Arial" w:hAnsi="Arial"/>
          <w:sz w:val="22"/>
          <w:szCs w:val="22"/>
        </w:rPr>
        <w:t xml:space="preserve">Count duration [seconds]. Bounded: [60 s, Tᶜ⁻ᵐᵎˣ]</w:t>
      </w:r>
    </w:p>
    <w:p>
      <w:pPr>
        <w:pStyle w:val="Heading2"/>
        <w:spacing w:after="120" w:before="300"/>
      </w:pPr>
      <w:r>
        <w:rPr>
          <w:rFonts w:ascii="Arial" w:cs="Arial" w:eastAsia="Arial" w:hAnsi="Arial"/>
          <w:b/>
          <w:bCs/>
          <w:color w:val="2E75B6"/>
          <w:sz w:val="26"/>
          <w:szCs w:val="26"/>
        </w:rPr>
        <w:t xml:space="preserve">4.3 Objective Function</w:t>
      </w:r>
    </w:p>
    <w:p>
      <w:pPr>
        <w:spacing w:after="120" w:before="80"/>
      </w:pPr>
      <w:r>
        <w:rPr>
          <w:rFonts w:ascii="Arial" w:cs="Arial" w:eastAsia="Arial" w:hAnsi="Arial"/>
          <w:sz w:val="22"/>
          <w:szCs w:val="22"/>
        </w:rPr>
        <w:t xml:space="preserve">For a set of target isotopes {i} with designated photopeaks {j}, the multi-peak weighted fractional variance objective is:</w:t>
      </w:r>
    </w:p>
    <w:p>
      <w:pPr>
        <w:spacing w:after="160" w:before="160"/>
        <w:jc w:val="center"/>
      </w:pPr>
      <w:r>
        <w:rPr>
          <w:rFonts w:ascii="Courier New" w:cs="Courier New" w:eastAsia="Courier New" w:hAnsi="Courier New"/>
          <w:b/>
          <w:bCs/>
          <w:sz w:val="22"/>
          <w:szCs w:val="22"/>
        </w:rPr>
        <w:t xml:space="preserve">J₁(Ω) = Σ_i  wᵢ · (σᴬ_i / Aᵢ)²</w:t>
      </w:r>
    </w:p>
    <w:p>
      <w:pPr>
        <w:spacing w:after="120" w:before="80"/>
      </w:pPr>
      <w:r>
        <w:rPr>
          <w:rFonts w:ascii="Arial" w:cs="Arial" w:eastAsia="Arial" w:hAnsi="Arial"/>
          <w:sz w:val="22"/>
          <w:szCs w:val="22"/>
        </w:rPr>
        <w:t xml:space="preserve">where Ω = (tᵢᵣᵣ, tᵈ, tᶜ) is the schedule, wᵢ is the importance weight for isotope i (user-assigned or derived from Method 3 below), and σᴬᵢ/Aᵢ is the fractional counting uncertainty from Section 3.3. The objective J₁ is minimized subject to:</w:t>
      </w:r>
    </w:p>
    <w:p>
      <w:pPr>
        <w:spacing w:after="160" w:before="160"/>
        <w:jc w:val="center"/>
      </w:pPr>
      <w:r>
        <w:rPr>
          <w:rFonts w:ascii="Courier New" w:cs="Courier New" w:eastAsia="Courier New" w:hAnsi="Courier New"/>
          <w:b/>
          <w:bCs/>
          <w:sz w:val="22"/>
          <w:szCs w:val="22"/>
        </w:rPr>
        <w:t xml:space="preserve">tᵢᵣᵣ + tᵈ + tᶜ ≤ Tᵂᵏᵏᵏᵏᵏ (campaign time budget)</w:t>
      </w:r>
    </w:p>
    <w:p>
      <w:pPr>
        <w:spacing w:after="160" w:before="160"/>
        <w:jc w:val="center"/>
      </w:pPr>
      <w:r>
        <w:rPr>
          <w:rFonts w:ascii="Courier New" w:cs="Courier New" w:eastAsia="Courier New" w:hAnsi="Courier New"/>
          <w:b/>
          <w:bCs/>
          <w:sz w:val="22"/>
          <w:szCs w:val="22"/>
        </w:rPr>
        <w:t xml:space="preserve">Rᵏᵒᵡᵒ = Aᵂ(tᵈ) · Σᵢⱼ [ε(Eᵢⱼ) · Iγᵢⱼ] ≤ Rᵐᵎˣ (detector dead-time / saturation limit)</w:t>
      </w:r>
    </w:p>
    <w:p>
      <w:pPr>
        <w:spacing w:after="160" w:before="160"/>
        <w:jc w:val="center"/>
      </w:pPr>
      <w:r>
        <w:rPr>
          <w:rFonts w:ascii="Courier New" w:cs="Courier New" w:eastAsia="Courier New" w:hAnsi="Courier New"/>
          <w:b/>
          <w:bCs/>
          <w:sz w:val="22"/>
          <w:szCs w:val="22"/>
        </w:rPr>
        <w:t xml:space="preserve">Mᵢⱼ(Ω) ≤ Mᵐᵎˣ (masking limit per peak)</w:t>
      </w:r>
    </w:p>
    <w:p>
      <w:pPr>
        <w:pStyle w:val="Heading2"/>
        <w:spacing w:after="120" w:before="300"/>
      </w:pPr>
      <w:r>
        <w:rPr>
          <w:rFonts w:ascii="Arial" w:cs="Arial" w:eastAsia="Arial" w:hAnsi="Arial"/>
          <w:b/>
          <w:bCs/>
          <w:color w:val="2E75B6"/>
          <w:sz w:val="26"/>
          <w:szCs w:val="26"/>
        </w:rPr>
        <w:t xml:space="preserve">4.4 Optimization Approach</w:t>
      </w:r>
    </w:p>
    <w:p>
      <w:pPr>
        <w:spacing w:after="120" w:before="80"/>
      </w:pPr>
      <w:r>
        <w:rPr>
          <w:rFonts w:ascii="Arial" w:cs="Arial" w:eastAsia="Arial" w:hAnsi="Arial"/>
          <w:sz w:val="22"/>
          <w:szCs w:val="22"/>
        </w:rPr>
        <w:t xml:space="preserve">Because the forward model is smooth and differentiable with respect to all three schedule variables, gradient-based methods (L-BFGS-B) converge rapidly from multiple starting points. A coarse grid search over a 3D schedule space (log-scaled in tᵢᵣᵣ and tᵈ) is used first to identify good starting points, then refined by gradient descent.</w:t>
      </w:r>
    </w:p>
    <w:p>
      <w:pPr>
        <w:spacing w:after="120" w:before="80"/>
      </w:pPr>
    </w:p>
    <w:p>
      <w:pPr>
        <w:spacing w:after="120" w:before="80"/>
      </w:pPr>
      <w:r>
        <w:rPr>
          <w:rFonts w:ascii="Arial" w:cs="Arial" w:eastAsia="Arial" w:hAnsi="Arial"/>
          <w:sz w:val="22"/>
          <w:szCs w:val="22"/>
        </w:rPr>
        <w:t xml:space="preserve">FluxForge should expose this as an interactive 2D heatmap (following Burgess 1987) where the user fixes one variable (e.g., tᶜ) and observes J₁(tᵢᵣᵣ, tᵈ) as a contour/heat surface, with feasible regions overlaid. The user can then select from a ranked schedule table.</w:t>
      </w:r>
    </w:p>
    <w:p>
      <w:pPr>
        <w:pStyle w:val="Heading2"/>
        <w:spacing w:after="120" w:before="300"/>
      </w:pPr>
      <w:r>
        <w:rPr>
          <w:rFonts w:ascii="Arial" w:cs="Arial" w:eastAsia="Arial" w:hAnsi="Arial"/>
          <w:b/>
          <w:bCs/>
          <w:color w:val="2E75B6"/>
          <w:sz w:val="26"/>
          <w:szCs w:val="26"/>
        </w:rPr>
        <w:t xml:space="preserve">4.5 RAFM-Specific Notes</w:t>
      </w:r>
    </w:p>
    <w:p>
      <w:pPr>
        <w:pStyle w:val="ListParagraph"/>
        <w:numPr>
          <w:ilvl w:val="0"/>
          <w:numId w:val="2"/>
        </w:numPr>
        <w:spacing w:after="60" w:before="60"/>
        <w:ind w:left="720" w:hanging="360"/>
      </w:pPr>
      <w:r>
        <w:rPr>
          <w:rFonts w:ascii="Arial" w:cs="Arial" w:eastAsia="Arial" w:hAnsi="Arial"/>
          <w:sz w:val="22"/>
          <w:szCs w:val="22"/>
        </w:rPr>
        <w:t xml:space="preserve">The UWNR fast flux is required to predict ⁵⁴Fe(n,p)→⁵⁴Mn and ⁵⁶Fe(n,p)→⁵⁶Mn production rates. An MCNP-computed flux spectrum for the target irradiation position should be loaded as the flux input.</w:t>
      </w:r>
    </w:p>
    <w:p>
      <w:pPr>
        <w:pStyle w:val="ListParagraph"/>
        <w:numPr>
          <w:ilvl w:val="0"/>
          <w:numId w:val="2"/>
        </w:numPr>
        <w:spacing w:after="60" w:before="60"/>
        <w:ind w:left="720" w:hanging="360"/>
      </w:pPr>
      <w:r>
        <w:rPr>
          <w:rFonts w:ascii="Arial" w:cs="Arial" w:eastAsia="Arial" w:hAnsi="Arial"/>
          <w:sz w:val="22"/>
          <w:szCs w:val="22"/>
        </w:rPr>
        <w:t xml:space="preserve">For long-lived isotopes (¹⁸₁W: 121d, ¹⁸²Ta: 115d, ⁵⁴Mn: 312d), saturation is not reached in any practical irradiation at UWNR. Longer irradiations directly increase activity proportionally. The optimizer will therefore push tᵢᵣᵣ to its maximum for these isotopes.</w:t>
      </w:r>
    </w:p>
    <w:p>
      <w:pPr>
        <w:pStyle w:val="ListParagraph"/>
        <w:numPr>
          <w:ilvl w:val="0"/>
          <w:numId w:val="2"/>
        </w:numPr>
        <w:spacing w:after="60" w:before="60"/>
        <w:ind w:left="720" w:hanging="360"/>
      </w:pPr>
      <w:r>
        <w:rPr>
          <w:rFonts w:ascii="Arial" w:cs="Arial" w:eastAsia="Arial" w:hAnsi="Arial"/>
          <w:sz w:val="22"/>
          <w:szCs w:val="22"/>
        </w:rPr>
        <w:t xml:space="preserve">For short-lived isotopes (⁵⁶Mn: 2.58h, ¹⁸⁷W: 23.9h), saturation occurs on the order of hours. The optimizer will find tᵢᵣᵣ ≈ 2–3 T½ and tᵈ ≪ T½.</w:t>
      </w:r>
    </w:p>
    <w:p>
      <w:pPr>
        <w:pStyle w:val="ListParagraph"/>
        <w:numPr>
          <w:ilvl w:val="0"/>
          <w:numId w:val="2"/>
        </w:numPr>
        <w:spacing w:after="60" w:before="60"/>
        <w:ind w:left="720" w:hanging="360"/>
      </w:pPr>
      <w:r>
        <w:rPr>
          <w:rFonts w:ascii="Arial" w:cs="Arial" w:eastAsia="Arial" w:hAnsi="Arial"/>
          <w:sz w:val="22"/>
          <w:szCs w:val="22"/>
        </w:rPr>
        <w:t xml:space="preserve">This inherent tension means a single irradiation cannot optimally serve all RAFM target isotopes simultaneously. This motivates the split-irradiation approach in Method 2.</w:t>
      </w:r>
    </w:p>
    <w:p>
      <w:pPr>
        <w:pStyle w:val="Heading2"/>
        <w:spacing w:after="120" w:before="300"/>
      </w:pPr>
      <w:r>
        <w:rPr>
          <w:rFonts w:ascii="Arial" w:cs="Arial" w:eastAsia="Arial" w:hAnsi="Arial"/>
          <w:b/>
          <w:bCs/>
          <w:color w:val="2E75B6"/>
          <w:sz w:val="26"/>
          <w:szCs w:val="26"/>
        </w:rPr>
        <w:t xml:space="preserve">4.6 FluxForge Implementation</w:t>
      </w:r>
    </w:p>
    <w:p>
      <w:pPr>
        <w:pStyle w:val="ListParagraph"/>
        <w:numPr>
          <w:ilvl w:val="0"/>
          <w:numId w:val="2"/>
        </w:numPr>
        <w:spacing w:after="60" w:before="60"/>
        <w:ind w:left="720" w:hanging="360"/>
      </w:pPr>
      <w:r>
        <w:rPr>
          <w:rFonts w:ascii="Arial" w:cs="Arial" w:eastAsia="Arial" w:hAnsi="Arial"/>
          <w:b/>
          <w:bCs/>
          <w:sz w:val="22"/>
          <w:szCs w:val="22"/>
        </w:rPr>
        <w:t xml:space="preserve">New module: </w:t>
      </w:r>
      <w:r>
        <w:rPr>
          <w:rFonts w:ascii="Arial" w:cs="Arial" w:eastAsia="Arial" w:hAnsi="Arial"/>
          <w:sz w:val="22"/>
          <w:szCs w:val="22"/>
        </w:rPr>
        <w:t xml:space="preserve">IrradiationOptimizer (Phase 3.17 candidate)</w:t>
      </w:r>
    </w:p>
    <w:p>
      <w:pPr>
        <w:pStyle w:val="ListParagraph"/>
        <w:numPr>
          <w:ilvl w:val="0"/>
          <w:numId w:val="2"/>
        </w:numPr>
        <w:spacing w:after="60" w:before="60"/>
        <w:ind w:left="720" w:hanging="360"/>
      </w:pPr>
      <w:r>
        <w:rPr>
          <w:rFonts w:ascii="Arial" w:cs="Arial" w:eastAsia="Arial" w:hAnsi="Arial"/>
          <w:b/>
          <w:bCs/>
          <w:sz w:val="22"/>
          <w:szCs w:val="22"/>
        </w:rPr>
        <w:t xml:space="preserve">Inputs: </w:t>
      </w:r>
      <w:r>
        <w:rPr>
          <w:rFonts w:ascii="Arial" w:cs="Arial" w:eastAsia="Arial" w:hAnsi="Arial"/>
          <w:sz w:val="22"/>
          <w:szCs w:val="22"/>
        </w:rPr>
        <w:t xml:space="preserve">flux spectrum, sample mass/composition, isotope list, campaign time budget, HPGe efficiency curve, dead-time limit</w:t>
      </w:r>
    </w:p>
    <w:p>
      <w:pPr>
        <w:pStyle w:val="ListParagraph"/>
        <w:numPr>
          <w:ilvl w:val="0"/>
          <w:numId w:val="2"/>
        </w:numPr>
        <w:spacing w:after="60" w:before="60"/>
        <w:ind w:left="720" w:hanging="360"/>
      </w:pPr>
      <w:r>
        <w:rPr>
          <w:rFonts w:ascii="Arial" w:cs="Arial" w:eastAsia="Arial" w:hAnsi="Arial"/>
          <w:b/>
          <w:bCs/>
          <w:sz w:val="22"/>
          <w:szCs w:val="22"/>
        </w:rPr>
        <w:t xml:space="preserve">Outputs: </w:t>
      </w:r>
      <w:r>
        <w:rPr>
          <w:rFonts w:ascii="Arial" w:cs="Arial" w:eastAsia="Arial" w:hAnsi="Arial"/>
          <w:sz w:val="22"/>
          <w:szCs w:val="22"/>
        </w:rPr>
        <w:t xml:space="preserve">ranked schedule table, J₁ heatmaps, per-isotope uncertainty breakdown, masking flags</w:t>
      </w:r>
    </w:p>
    <w:p>
      <w:pPr>
        <w:pStyle w:val="ListParagraph"/>
        <w:numPr>
          <w:ilvl w:val="0"/>
          <w:numId w:val="2"/>
        </w:numPr>
        <w:spacing w:after="60" w:before="60"/>
        <w:ind w:left="720" w:hanging="360"/>
      </w:pPr>
      <w:r>
        <w:rPr>
          <w:rFonts w:ascii="Arial" w:cs="Arial" w:eastAsia="Arial" w:hAnsi="Arial"/>
          <w:b/>
          <w:bCs/>
          <w:sz w:val="22"/>
          <w:szCs w:val="22"/>
        </w:rPr>
        <w:t xml:space="preserve">Computational cost: </w:t>
      </w:r>
      <w:r>
        <w:rPr>
          <w:rFonts w:ascii="Arial" w:cs="Arial" w:eastAsia="Arial" w:hAnsi="Arial"/>
          <w:sz w:val="22"/>
          <w:szCs w:val="22"/>
        </w:rPr>
        <w:t xml:space="preserve">Low. Full grid sweep + gradient refinement &lt; 1 second on desktop hardware.</w:t>
      </w:r>
    </w:p>
    <w:p>
      <w:pPr>
        <w:pBdr>
          <w:bottom w:val="single" w:color="2E75B6" w:sz="4" w:space="1"/>
        </w:pBdr>
        <w:spacing w:after="200" w:before="200"/>
      </w:pPr>
    </w:p>
    <w:p>
      <w:r>
        <w:br w:type="page"/>
      </w:r>
    </w:p>
    <w:p>
      <w:pPr>
        <w:pStyle w:val="Heading1"/>
        <w:spacing w:after="180" w:before="360"/>
      </w:pPr>
      <w:r>
        <w:rPr>
          <w:rFonts w:ascii="Arial" w:cs="Arial" w:eastAsia="Arial" w:hAnsi="Arial"/>
          <w:b/>
          <w:bCs/>
          <w:color w:val="1F4E79"/>
          <w:sz w:val="32"/>
          <w:szCs w:val="32"/>
        </w:rPr>
        <w:t xml:space="preserve">5. Method 2 (State-of-the-Art): Multi-Isotope Split-Irradiation Bayesian Schedule Ranker</w:t>
      </w:r>
    </w:p>
    <w:p>
      <w:pPr>
        <w:spacing w:after="120" w:before="80"/>
      </w:pPr>
      <w:r>
        <w:rPr>
          <w:rFonts w:ascii="Arial" w:cs="Arial" w:eastAsia="Arial" w:hAnsi="Arial"/>
          <w:i/>
          <w:iCs/>
          <w:sz w:val="22"/>
          <w:szCs w:val="22"/>
        </w:rPr>
        <w:t xml:space="preserve">Based on: </w:t>
      </w:r>
      <w:r>
        <w:rPr>
          <w:rFonts w:ascii="Arial" w:cs="Arial" w:eastAsia="Arial" w:hAnsi="Arial"/>
          <w:sz w:val="22"/>
          <w:szCs w:val="22"/>
        </w:rPr>
        <w:t xml:space="preserve">D'Agostino and Di Luzio (2024), Wübbeler et al. (2025), Lani et al. (2022), Van Doanh et al. (2025)</w:t>
      </w:r>
    </w:p>
    <w:p>
      <w:pPr>
        <w:pStyle w:val="Heading2"/>
        <w:spacing w:after="120" w:before="300"/>
      </w:pPr>
      <w:r>
        <w:rPr>
          <w:rFonts w:ascii="Arial" w:cs="Arial" w:eastAsia="Arial" w:hAnsi="Arial"/>
          <w:b/>
          <w:bCs/>
          <w:color w:val="2E75B6"/>
          <w:sz w:val="26"/>
          <w:szCs w:val="26"/>
        </w:rPr>
        <w:t xml:space="preserve">5.1 Overview</w:t>
      </w:r>
    </w:p>
    <w:p>
      <w:pPr>
        <w:spacing w:after="120" w:before="80"/>
      </w:pPr>
      <w:r>
        <w:rPr>
          <w:rFonts w:ascii="Arial" w:cs="Arial" w:eastAsia="Arial" w:hAnsi="Arial"/>
          <w:sz w:val="22"/>
          <w:szCs w:val="22"/>
        </w:rPr>
        <w:t xml:space="preserve">Method 1 optimizes a single contiguous irradiation. Method 2 extends this to split-irradiation campaigns: two or more sequential irradiations with different durations, potentially from different flux positions, designed to target different half-life windows simultaneously. The objective function is updated to target the final uncertainty in inferred elemental mass fractions (not just raw activity), following D'Agostino and Di Luzio (2024).</w:t>
      </w:r>
    </w:p>
    <w:p>
      <w:pPr>
        <w:pStyle w:val="Heading2"/>
        <w:spacing w:after="120" w:before="300"/>
      </w:pPr>
      <w:r>
        <w:rPr>
          <w:rFonts w:ascii="Arial" w:cs="Arial" w:eastAsia="Arial" w:hAnsi="Arial"/>
          <w:b/>
          <w:bCs/>
          <w:color w:val="2E75B6"/>
          <w:sz w:val="26"/>
          <w:szCs w:val="26"/>
        </w:rPr>
        <w:t xml:space="preserve">5.2 Measurement Equation (D'Agostino Framework)</w:t>
      </w:r>
    </w:p>
    <w:p>
      <w:pPr>
        <w:spacing w:after="120" w:before="80"/>
      </w:pPr>
      <w:r>
        <w:rPr>
          <w:rFonts w:ascii="Arial" w:cs="Arial" w:eastAsia="Arial" w:hAnsi="Arial"/>
          <w:sz w:val="22"/>
          <w:szCs w:val="22"/>
        </w:rPr>
        <w:t xml:space="preserve">For the direct comparator INAA standardization, the inferred mass of element e in the sample is:</w:t>
      </w:r>
    </w:p>
    <w:p>
      <w:pPr>
        <w:spacing w:after="160" w:before="160"/>
        <w:jc w:val="center"/>
      </w:pPr>
      <w:r>
        <w:rPr>
          <w:rFonts w:ascii="Courier New" w:cs="Courier New" w:eastAsia="Courier New" w:hAnsi="Courier New"/>
          <w:b/>
          <w:bCs/>
          <w:sz w:val="22"/>
          <w:szCs w:val="22"/>
        </w:rPr>
        <w:t xml:space="preserve">mᵉ = (Aᵉᵒᵘᵒ / Aᵉᵣᵢˢ) · mᵉᵣᵢˢ · Φ (fᵢᵣᵣ, fᵈ, fᶜ, ε, Iγ, λ, ...)</w:t>
      </w:r>
    </w:p>
    <w:p>
      <w:pPr>
        <w:spacing w:after="120" w:before="80"/>
      </w:pPr>
      <w:r>
        <w:rPr>
          <w:rFonts w:ascii="Arial" w:cs="Arial" w:eastAsia="Arial" w:hAnsi="Arial"/>
          <w:sz w:val="22"/>
          <w:szCs w:val="22"/>
        </w:rPr>
        <w:t xml:space="preserve">where the correction factor Φ encapsulates all differences in irradiation, decay, and detector geometry between sample and comparator standards. The uncertainty in mᵉ is propagated through all correction factors and is the true target quantity for the optimizer.</w:t>
      </w:r>
    </w:p>
    <w:p>
      <w:pPr>
        <w:spacing w:after="120" w:before="80"/>
      </w:pPr>
    </w:p>
    <w:p>
      <w:pPr>
        <w:spacing w:after="120" w:before="80"/>
      </w:pPr>
      <w:r>
        <w:rPr>
          <w:rFonts w:ascii="Arial" w:cs="Arial" w:eastAsia="Arial" w:hAnsi="Arial"/>
          <w:sz w:val="22"/>
          <w:szCs w:val="22"/>
        </w:rPr>
        <w:t xml:space="preserve">The multi-isotope objective function for a split-irradiation campaign with Nᵢᵣᵣ sequential irradiations is:</w:t>
      </w:r>
    </w:p>
    <w:p>
      <w:pPr>
        <w:spacing w:after="160" w:before="160"/>
        <w:jc w:val="center"/>
      </w:pPr>
      <w:r>
        <w:rPr>
          <w:rFonts w:ascii="Courier New" w:cs="Courier New" w:eastAsia="Courier New" w:hAnsi="Courier New"/>
          <w:b/>
          <w:bCs/>
          <w:sz w:val="22"/>
          <w:szCs w:val="22"/>
        </w:rPr>
        <w:t xml:space="preserve">J₂(Ω₁, ..., Ω_Nᵢᵣᵣ) = Σ_e  wᵉ · (σ_mᵉ / mᵉ)²</w:t>
      </w:r>
    </w:p>
    <w:p>
      <w:pPr>
        <w:spacing w:after="120" w:before="80"/>
      </w:pPr>
      <w:r>
        <w:rPr>
          <w:rFonts w:ascii="Arial" w:cs="Arial" w:eastAsia="Arial" w:hAnsi="Arial"/>
          <w:sz w:val="22"/>
          <w:szCs w:val="22"/>
        </w:rPr>
        <w:t xml:space="preserve">summed over all target elements e, where σ_mᵉ/mᵉ is the full propagated fractional mass uncertainty (including ε, Iγ, flux, dead-time, and counting terms). This is more rigorous than J₁ because it accounts for normalization and systematic terms, not just counting statistics.</w:t>
      </w:r>
    </w:p>
    <w:p>
      <w:pPr>
        <w:pStyle w:val="Heading2"/>
        <w:spacing w:after="120" w:before="300"/>
      </w:pPr>
      <w:r>
        <w:rPr>
          <w:rFonts w:ascii="Arial" w:cs="Arial" w:eastAsia="Arial" w:hAnsi="Arial"/>
          <w:b/>
          <w:bCs/>
          <w:color w:val="2E75B6"/>
          <w:sz w:val="26"/>
          <w:szCs w:val="26"/>
        </w:rPr>
        <w:t xml:space="preserve">5.3 Split-Irradiation Design Rationale for RAFM</w:t>
      </w:r>
    </w:p>
    <w:p>
      <w:pPr>
        <w:spacing w:after="120" w:before="80"/>
      </w:pPr>
      <w:r>
        <w:rPr>
          <w:rFonts w:ascii="Arial" w:cs="Arial" w:eastAsia="Arial" w:hAnsi="Arial"/>
          <w:sz w:val="22"/>
          <w:szCs w:val="22"/>
        </w:rPr>
        <w:t xml:space="preserve">The RAFM activation problem naturally separates into two half-life windows requiring different irradiation strategies:</w:t>
      </w:r>
    </w:p>
    <w:p>
      <w:pPr>
        <w:spacing w:after="12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60"/>
        <w:gridCol w:w="21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Window</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Isotopes</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Optimal tᵢᵣᵣ</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Optimal tᵈ before count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Short (hours–days)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⁵⁶Mn (2.58h), ¹⁸⁷W (23.9h)</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3–12 h</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&lt; 1 h (count immediately)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Medium (weeks)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⁵‹Cr (27.7d), ⁴⁸V (16d)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8–24 h</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1–3 d (matrix decay)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Long (months)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⁴′Fe (44.5d), ¹⁸µW (75d), ¹⁸¹W (121d), ¹⁸²Ta (115d), ⁴⁴Mn (312d)</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24–72 h (or maximum practical)</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5–14 d (⁶Mn, ¹₇W, ¹⁸³Cr decay away)</w:t>
            </w:r>
          </w:p>
        </w:tc>
      </w:tr>
    </w:tbl>
    <w:p>
      <w:pPr>
        <w:spacing w:after="120" w:before="120"/>
      </w:pPr>
    </w:p>
    <w:p>
      <w:pPr>
        <w:spacing w:after="120" w:before="80"/>
      </w:pPr>
      <w:r>
        <w:rPr>
          <w:rFonts w:ascii="Arial" w:cs="Arial" w:eastAsia="Arial" w:hAnsi="Arial"/>
          <w:sz w:val="22"/>
          <w:szCs w:val="22"/>
        </w:rPr>
        <w:t xml:space="preserve">The recommended RAFM campaign structure is a two-irradiation design: Irradiation 1 (short, I₁ ≈1–6 h) targeting the short/medium window, followed by Irradiation 2 (long, I₂ ≈24–72 h) targeting the long-lived window. Both are analyzed with Method 2's joint objective function.</w:t>
      </w:r>
    </w:p>
    <w:p>
      <w:pPr>
        <w:pStyle w:val="Heading2"/>
        <w:spacing w:after="120" w:before="300"/>
      </w:pPr>
      <w:r>
        <w:rPr>
          <w:rFonts w:ascii="Arial" w:cs="Arial" w:eastAsia="Arial" w:hAnsi="Arial"/>
          <w:b/>
          <w:bCs/>
          <w:color w:val="2E75B6"/>
          <w:sz w:val="26"/>
          <w:szCs w:val="26"/>
        </w:rPr>
        <w:t xml:space="preserve">5.4 Masking Resolution Through Decay Time Selection</w:t>
      </w:r>
    </w:p>
    <w:p>
      <w:pPr>
        <w:spacing w:after="120" w:before="80"/>
      </w:pPr>
      <w:r>
        <w:rPr>
          <w:rFonts w:ascii="Arial" w:cs="Arial" w:eastAsia="Arial" w:hAnsi="Arial"/>
          <w:sz w:val="22"/>
          <w:szCs w:val="22"/>
        </w:rPr>
        <w:t xml:space="preserve">Spectral masking is often resolvable by choosing an appropriate decay window. For RAFM, the dominant masking problem is the strong ⁵⁶Mn continuum (T½ = 2.58h) obscuring W and Cr low-energy lines at early decay times. Method 2 explicitly includes masking suppression in the schedule ranking:</w:t>
      </w:r>
    </w:p>
    <w:p>
      <w:pPr>
        <w:spacing w:after="160" w:before="160"/>
        <w:jc w:val="center"/>
      </w:pPr>
      <w:r>
        <w:rPr>
          <w:rFonts w:ascii="Courier New" w:cs="Courier New" w:eastAsia="Courier New" w:hAnsi="Courier New"/>
          <w:b/>
          <w:bCs/>
          <w:sz w:val="22"/>
          <w:szCs w:val="22"/>
        </w:rPr>
        <w:t xml:space="preserve">J₂ᵐᵎˢᵏ = J₂(Ω) + λᵀ · Σᵢⱼ Mᵢⱼ(Ω)</w:t>
      </w:r>
    </w:p>
    <w:p>
      <w:pPr>
        <w:spacing w:after="120" w:before="80"/>
      </w:pPr>
      <w:r>
        <w:rPr>
          <w:rFonts w:ascii="Arial" w:cs="Arial" w:eastAsia="Arial" w:hAnsi="Arial"/>
          <w:sz w:val="22"/>
          <w:szCs w:val="22"/>
        </w:rPr>
        <w:t xml:space="preserve">where λᵀ is a masking penalty weight selected by the user, and Mᵢⱼ is the masking score from Section 3.4. This drives the optimizer to prefer decay windows where interfering short-lived isotopes have sufficiently decayed.</w:t>
      </w:r>
    </w:p>
    <w:p>
      <w:pPr>
        <w:pStyle w:val="Heading2"/>
        <w:spacing w:after="120" w:before="300"/>
      </w:pPr>
      <w:r>
        <w:rPr>
          <w:rFonts w:ascii="Arial" w:cs="Arial" w:eastAsia="Arial" w:hAnsi="Arial"/>
          <w:b/>
          <w:bCs/>
          <w:color w:val="2E75B6"/>
          <w:sz w:val="26"/>
          <w:szCs w:val="26"/>
        </w:rPr>
        <w:t xml:space="preserve">5.5 FluxForge Implementation</w:t>
      </w:r>
    </w:p>
    <w:p>
      <w:pPr>
        <w:pStyle w:val="ListParagraph"/>
        <w:numPr>
          <w:ilvl w:val="0"/>
          <w:numId w:val="2"/>
        </w:numPr>
        <w:spacing w:after="60" w:before="60"/>
        <w:ind w:left="720" w:hanging="360"/>
      </w:pPr>
      <w:r>
        <w:rPr>
          <w:rFonts w:ascii="Arial" w:cs="Arial" w:eastAsia="Arial" w:hAnsi="Arial"/>
          <w:b/>
          <w:bCs/>
          <w:sz w:val="22"/>
          <w:szCs w:val="22"/>
        </w:rPr>
        <w:t xml:space="preserve">Extension of IrradiationOptimizer: </w:t>
      </w:r>
      <w:r>
        <w:rPr>
          <w:rFonts w:ascii="Arial" w:cs="Arial" w:eastAsia="Arial" w:hAnsi="Arial"/>
          <w:sz w:val="22"/>
          <w:szCs w:val="22"/>
        </w:rPr>
        <w:t xml:space="preserve">add split-irradiation mode with Nᵢᵣᵣ = 1 or 2 (upgradable to N)</w:t>
      </w:r>
    </w:p>
    <w:p>
      <w:pPr>
        <w:pStyle w:val="ListParagraph"/>
        <w:numPr>
          <w:ilvl w:val="0"/>
          <w:numId w:val="2"/>
        </w:numPr>
        <w:spacing w:after="60" w:before="60"/>
        <w:ind w:left="720" w:hanging="360"/>
      </w:pPr>
      <w:r>
        <w:rPr>
          <w:rFonts w:ascii="Arial" w:cs="Arial" w:eastAsia="Arial" w:hAnsi="Arial"/>
          <w:b/>
          <w:bCs/>
          <w:sz w:val="22"/>
          <w:szCs w:val="22"/>
        </w:rPr>
        <w:t xml:space="preserve">Inputs: </w:t>
      </w:r>
      <w:r>
        <w:rPr>
          <w:rFonts w:ascii="Arial" w:cs="Arial" w:eastAsia="Arial" w:hAnsi="Arial"/>
          <w:sz w:val="22"/>
          <w:szCs w:val="22"/>
        </w:rPr>
        <w:t xml:space="preserve">all Method 1 inputs + comparator standard data, multi-irradiation time budget, masking penalty weight</w:t>
      </w:r>
    </w:p>
    <w:p>
      <w:pPr>
        <w:pStyle w:val="ListParagraph"/>
        <w:numPr>
          <w:ilvl w:val="0"/>
          <w:numId w:val="2"/>
        </w:numPr>
        <w:spacing w:after="60" w:before="60"/>
        <w:ind w:left="720" w:hanging="360"/>
      </w:pPr>
      <w:r>
        <w:rPr>
          <w:rFonts w:ascii="Arial" w:cs="Arial" w:eastAsia="Arial" w:hAnsi="Arial"/>
          <w:b/>
          <w:bCs/>
          <w:sz w:val="22"/>
          <w:szCs w:val="22"/>
        </w:rPr>
        <w:t xml:space="preserve">Outputs: </w:t>
      </w:r>
      <w:r>
        <w:rPr>
          <w:rFonts w:ascii="Arial" w:cs="Arial" w:eastAsia="Arial" w:hAnsi="Arial"/>
          <w:sz w:val="22"/>
          <w:szCs w:val="22"/>
        </w:rPr>
        <w:t xml:space="preserve">ranked multi-irradiation schedule pairs, uncertainty-by-element tables, masking timeline plots, Bateman chain visualizations per isotope</w:t>
      </w:r>
    </w:p>
    <w:p>
      <w:pPr>
        <w:pStyle w:val="ListParagraph"/>
        <w:numPr>
          <w:ilvl w:val="0"/>
          <w:numId w:val="2"/>
        </w:numPr>
        <w:spacing w:after="60" w:before="60"/>
        <w:ind w:left="720" w:hanging="360"/>
      </w:pPr>
      <w:r>
        <w:rPr>
          <w:rFonts w:ascii="Arial" w:cs="Arial" w:eastAsia="Arial" w:hAnsi="Arial"/>
          <w:b/>
          <w:bCs/>
          <w:sz w:val="22"/>
          <w:szCs w:val="22"/>
        </w:rPr>
        <w:t xml:space="preserve">Computational cost: </w:t>
      </w:r>
      <w:r>
        <w:rPr>
          <w:rFonts w:ascii="Arial" w:cs="Arial" w:eastAsia="Arial" w:hAnsi="Arial"/>
          <w:sz w:val="22"/>
          <w:szCs w:val="22"/>
        </w:rPr>
        <w:t xml:space="preserve">Medium. 2D sweep over (tᵢᵣᵣ¹, tᵢᵣᵣ²) with fixed tᵈ and tᶜ heuristics, then local refinement.</w:t>
      </w:r>
    </w:p>
    <w:p>
      <w:pPr>
        <w:pBdr>
          <w:bottom w:val="single" w:color="2E75B6" w:sz="4" w:space="1"/>
        </w:pBdr>
        <w:spacing w:after="200" w:before="200"/>
      </w:pPr>
    </w:p>
    <w:p>
      <w:r>
        <w:br w:type="page"/>
      </w:r>
    </w:p>
    <w:p>
      <w:pPr>
        <w:pStyle w:val="Heading1"/>
        <w:spacing w:after="180" w:before="360"/>
      </w:pPr>
      <w:r>
        <w:rPr>
          <w:rFonts w:ascii="Arial" w:cs="Arial" w:eastAsia="Arial" w:hAnsi="Arial"/>
          <w:b/>
          <w:bCs/>
          <w:color w:val="1F4E79"/>
          <w:sz w:val="32"/>
          <w:szCs w:val="32"/>
        </w:rPr>
        <w:t xml:space="preserve">6. Method 3 (State-of-the-Art): Activation-Endpoint Weighted Schedule Ranking</w:t>
      </w:r>
    </w:p>
    <w:p>
      <w:pPr>
        <w:spacing w:after="120" w:before="80"/>
      </w:pPr>
      <w:r>
        <w:rPr>
          <w:rFonts w:ascii="Arial" w:cs="Arial" w:eastAsia="Arial" w:hAnsi="Arial"/>
          <w:i/>
          <w:iCs/>
          <w:sz w:val="22"/>
          <w:szCs w:val="22"/>
        </w:rPr>
        <w:t xml:space="preserve">Based on: </w:t>
      </w:r>
      <w:r>
        <w:rPr>
          <w:rFonts w:ascii="Arial" w:cs="Arial" w:eastAsia="Arial" w:hAnsi="Arial"/>
          <w:sz w:val="22"/>
          <w:szCs w:val="22"/>
        </w:rPr>
        <w:t xml:space="preserve">Palermo et al. (2018), Bae and Robert (2025), Kim et al. (2021), FISPACT-II / ORIGEN benchmarking literature</w:t>
      </w:r>
    </w:p>
    <w:p>
      <w:pPr>
        <w:pStyle w:val="Heading2"/>
        <w:spacing w:after="120" w:before="300"/>
      </w:pPr>
      <w:r>
        <w:rPr>
          <w:rFonts w:ascii="Arial" w:cs="Arial" w:eastAsia="Arial" w:hAnsi="Arial"/>
          <w:b/>
          <w:bCs/>
          <w:color w:val="2E75B6"/>
          <w:sz w:val="26"/>
          <w:szCs w:val="26"/>
        </w:rPr>
        <w:t xml:space="preserve">6.1 Overview</w:t>
      </w:r>
    </w:p>
    <w:p>
      <w:pPr>
        <w:spacing w:after="120" w:before="80"/>
      </w:pPr>
      <w:r>
        <w:rPr>
          <w:rFonts w:ascii="Arial" w:cs="Arial" w:eastAsia="Arial" w:hAnsi="Arial"/>
          <w:sz w:val="22"/>
          <w:szCs w:val="22"/>
        </w:rPr>
        <w:t xml:space="preserve">Methods 1 and 2 optimize for measurement precision uniformly (or with user-assigned weights). Method 3 replaces uniform weights with physically motivated importance weights derived from activation endpoint metrics: shutdown dose rate, decay heat, and long-term activation significance. This directly aligns optimization with the INL LDRD goal of characterizing isotopes relevant to regulatory and safety endpoints.</w:t>
      </w:r>
    </w:p>
    <w:p>
      <w:pPr>
        <w:pStyle w:val="Heading2"/>
        <w:spacing w:after="120" w:before="300"/>
      </w:pPr>
      <w:r>
        <w:rPr>
          <w:rFonts w:ascii="Arial" w:cs="Arial" w:eastAsia="Arial" w:hAnsi="Arial"/>
          <w:b/>
          <w:bCs/>
          <w:color w:val="2E75B6"/>
          <w:sz w:val="26"/>
          <w:szCs w:val="26"/>
        </w:rPr>
        <w:t xml:space="preserve">6.2 Activation Endpoint Metrics</w:t>
      </w:r>
    </w:p>
    <w:p>
      <w:pPr>
        <w:spacing w:after="120" w:before="80"/>
      </w:pPr>
      <w:r>
        <w:rPr>
          <w:rFonts w:ascii="Arial" w:cs="Arial" w:eastAsia="Arial" w:hAnsi="Arial"/>
          <w:b/>
          <w:bCs/>
          <w:sz w:val="22"/>
          <w:szCs w:val="22"/>
        </w:rPr>
        <w:t xml:space="preserve">Shutdown Dose Rate (SDR): </w:t>
      </w:r>
      <w:r>
        <w:rPr>
          <w:rFonts w:ascii="Arial" w:cs="Arial" w:eastAsia="Arial" w:hAnsi="Arial"/>
          <w:sz w:val="22"/>
          <w:szCs w:val="22"/>
        </w:rPr>
        <w:t xml:space="preserve">The gamma dose rate at a specified distance from the activated component at time t after shutdown:</w:t>
      </w:r>
    </w:p>
    <w:p>
      <w:pPr>
        <w:spacing w:after="160" w:before="160"/>
        <w:jc w:val="center"/>
      </w:pPr>
      <w:r>
        <w:rPr>
          <w:rFonts w:ascii="Courier New" w:cs="Courier New" w:eastAsia="Courier New" w:hAnsi="Courier New"/>
          <w:b/>
          <w:bCs/>
          <w:sz w:val="22"/>
          <w:szCs w:val="22"/>
        </w:rPr>
        <w:t xml:space="preserve">Dᵉ(t) = Σᵢ Aᵢ(t) · dᵢᵉ(r, geometry)</w:t>
      </w:r>
    </w:p>
    <w:p>
      <w:pPr>
        <w:spacing w:after="120" w:before="80"/>
      </w:pPr>
      <w:r>
        <w:rPr>
          <w:rFonts w:ascii="Arial" w:cs="Arial" w:eastAsia="Arial" w:hAnsi="Arial"/>
          <w:sz w:val="22"/>
          <w:szCs w:val="22"/>
        </w:rPr>
        <w:t xml:space="preserve">where dᵢᵉ is the dose rate coefficient for isotope i at location and geometry g (from ICRP, ANSI/ANS, or adjoint transport). For RAFM shutdown dose, dominant contributors at t = 24h are ⁵⁶Mn, ⁵⁹Fe, ¹⁸⁷W, and ⁴‸Sc.</w:t>
      </w:r>
    </w:p>
    <w:p>
      <w:pPr>
        <w:spacing w:after="120" w:before="80"/>
      </w:pPr>
    </w:p>
    <w:p>
      <w:pPr>
        <w:spacing w:after="120" w:before="80"/>
      </w:pPr>
      <w:r>
        <w:rPr>
          <w:rFonts w:ascii="Arial" w:cs="Arial" w:eastAsia="Arial" w:hAnsi="Arial"/>
          <w:b/>
          <w:bCs/>
          <w:sz w:val="22"/>
          <w:szCs w:val="22"/>
        </w:rPr>
        <w:t xml:space="preserve">Decay Heat (Q): </w:t>
      </w:r>
      <w:r>
        <w:rPr>
          <w:rFonts w:ascii="Arial" w:cs="Arial" w:eastAsia="Arial" w:hAnsi="Arial"/>
          <w:sz w:val="22"/>
          <w:szCs w:val="22"/>
        </w:rPr>
        <w:t xml:space="preserve">Total power deposited per unit mass at time t:</w:t>
      </w:r>
    </w:p>
    <w:p>
      <w:pPr>
        <w:spacing w:after="160" w:before="160"/>
        <w:jc w:val="center"/>
      </w:pPr>
      <w:r>
        <w:rPr>
          <w:rFonts w:ascii="Courier New" w:cs="Courier New" w:eastAsia="Courier New" w:hAnsi="Courier New"/>
          <w:b/>
          <w:bCs/>
          <w:sz w:val="22"/>
          <w:szCs w:val="22"/>
        </w:rPr>
        <w:t xml:space="preserve">Q(t) = Σᵢ Aᵢ(t) · Qᵢ</w:t>
      </w:r>
    </w:p>
    <w:p>
      <w:pPr>
        <w:spacing w:after="120" w:before="80"/>
      </w:pPr>
      <w:r>
        <w:rPr>
          <w:rFonts w:ascii="Arial" w:cs="Arial" w:eastAsia="Arial" w:hAnsi="Arial"/>
          <w:sz w:val="22"/>
          <w:szCs w:val="22"/>
        </w:rPr>
        <w:t xml:space="preserve">where Qᵢ is the mean decay energy per disintegration for isotope i (sum of β, γ, and α contributions in MeV/dis from JEFF/ENDF decay libraries).</w:t>
      </w:r>
    </w:p>
    <w:p>
      <w:pPr>
        <w:spacing w:after="120" w:before="80"/>
      </w:pPr>
    </w:p>
    <w:p>
      <w:pPr>
        <w:spacing w:after="120" w:before="80"/>
      </w:pPr>
      <w:r>
        <w:rPr>
          <w:rFonts w:ascii="Arial" w:cs="Arial" w:eastAsia="Arial" w:hAnsi="Arial"/>
          <w:b/>
          <w:bCs/>
          <w:sz w:val="22"/>
          <w:szCs w:val="22"/>
        </w:rPr>
        <w:t xml:space="preserve">Long-Term Activation Significance (LTAS): </w:t>
      </w:r>
      <w:r>
        <w:rPr>
          <w:rFonts w:ascii="Arial" w:cs="Arial" w:eastAsia="Arial" w:hAnsi="Arial"/>
          <w:sz w:val="22"/>
          <w:szCs w:val="22"/>
        </w:rPr>
        <w:t xml:space="preserve">Integral of activity over an operational period, weighted by waste classification dose factors:</w:t>
      </w:r>
    </w:p>
    <w:p>
      <w:pPr>
        <w:spacing w:after="160" w:before="160"/>
        <w:jc w:val="center"/>
      </w:pPr>
      <w:r>
        <w:rPr>
          <w:rFonts w:ascii="Courier New" w:cs="Courier New" w:eastAsia="Courier New" w:hAnsi="Courier New"/>
          <w:b/>
          <w:bCs/>
          <w:sz w:val="22"/>
          <w:szCs w:val="22"/>
        </w:rPr>
        <w:t xml:space="preserve">LTASᵢ = ∫ₜ₀^(t_max) Aᵢ(t) · DCFᵢ dt</w:t>
      </w:r>
    </w:p>
    <w:p>
      <w:pPr>
        <w:spacing w:after="120" w:before="80"/>
      </w:pPr>
      <w:r>
        <w:rPr>
          <w:rFonts w:ascii="Arial" w:cs="Arial" w:eastAsia="Arial" w:hAnsi="Arial"/>
          <w:sz w:val="22"/>
          <w:szCs w:val="22"/>
        </w:rPr>
        <w:t xml:space="preserve">where DCFᵢ is the waste classification dose conversion factor for isotope i (from 10 CFR 61 or equivalent). For RAFM, isotopes with high LTAS include ⁴⁄Mn (312d), ⁸⁹Fe (44.5d), and ⁸₅W (75d).</w:t>
      </w:r>
    </w:p>
    <w:p>
      <w:pPr>
        <w:pStyle w:val="Heading2"/>
        <w:spacing w:after="120" w:before="300"/>
      </w:pPr>
      <w:r>
        <w:rPr>
          <w:rFonts w:ascii="Arial" w:cs="Arial" w:eastAsia="Arial" w:hAnsi="Arial"/>
          <w:b/>
          <w:bCs/>
          <w:color w:val="2E75B6"/>
          <w:sz w:val="26"/>
          <w:szCs w:val="26"/>
        </w:rPr>
        <w:t xml:space="preserve">6.3 Importance-Weighted Objective Function</w:t>
      </w:r>
    </w:p>
    <w:p>
      <w:pPr>
        <w:spacing w:after="120" w:before="80"/>
      </w:pPr>
      <w:r>
        <w:rPr>
          <w:rFonts w:ascii="Arial" w:cs="Arial" w:eastAsia="Arial" w:hAnsi="Arial"/>
          <w:sz w:val="22"/>
          <w:szCs w:val="22"/>
        </w:rPr>
        <w:t xml:space="preserve">The activation-endpoint importance weight for isotope i is:</w:t>
      </w:r>
    </w:p>
    <w:p>
      <w:pPr>
        <w:spacing w:after="160" w:before="160"/>
        <w:jc w:val="center"/>
      </w:pPr>
      <w:r>
        <w:rPr>
          <w:rFonts w:ascii="Courier New" w:cs="Courier New" w:eastAsia="Courier New" w:hAnsi="Courier New"/>
          <w:b/>
          <w:bCs/>
          <w:sz w:val="22"/>
          <w:szCs w:val="22"/>
        </w:rPr>
        <w:t xml:space="preserve">wᵢᴬᴬᴬ = Aᵢ(tᵣᵈᵐ) · dᵢ / Σⱼ Aⱼ(tᵣᵈᵐ) · dⱼ</w:t>
      </w:r>
    </w:p>
    <w:p>
      <w:pPr>
        <w:spacing w:after="120" w:before="80"/>
      </w:pPr>
      <w:r>
        <w:rPr>
          <w:rFonts w:ascii="Arial" w:cs="Arial" w:eastAsia="Arial" w:hAnsi="Arial"/>
          <w:sz w:val="22"/>
          <w:szCs w:val="22"/>
        </w:rPr>
        <w:t xml:space="preserve">where tᵣᵈᵐ is the target assessment time (e.g., 24h post-shutdown for maintenance access evaluation, or 10y for waste classification). The full weighted objective function is:</w:t>
      </w:r>
    </w:p>
    <w:p>
      <w:pPr>
        <w:spacing w:after="160" w:before="160"/>
        <w:jc w:val="center"/>
      </w:pPr>
      <w:r>
        <w:rPr>
          <w:rFonts w:ascii="Courier New" w:cs="Courier New" w:eastAsia="Courier New" w:hAnsi="Courier New"/>
          <w:b/>
          <w:bCs/>
          <w:sz w:val="22"/>
          <w:szCs w:val="22"/>
        </w:rPr>
        <w:t xml:space="preserve">J₃(Ω) = Σᵢ wᵢᴬᴬᴬ · (σ_Aᵢ / Aᵢ)²</w:t>
      </w:r>
    </w:p>
    <w:p>
      <w:pPr>
        <w:spacing w:after="120" w:before="80"/>
      </w:pPr>
      <w:r>
        <w:rPr>
          <w:rFonts w:ascii="Arial" w:cs="Arial" w:eastAsia="Arial" w:hAnsi="Arial"/>
          <w:sz w:val="22"/>
          <w:szCs w:val="22"/>
        </w:rPr>
        <w:t xml:space="preserve">This ensures that the optimizer allocates irradiation time and counting resources preferentially to the isotopes that matter most for the regulatory or safety objective, rather than to those that are merely easiest to measure.</w:t>
      </w:r>
    </w:p>
    <w:p>
      <w:pPr>
        <w:pStyle w:val="Heading2"/>
        <w:spacing w:after="120" w:before="300"/>
      </w:pPr>
      <w:r>
        <w:rPr>
          <w:rFonts w:ascii="Arial" w:cs="Arial" w:eastAsia="Arial" w:hAnsi="Arial"/>
          <w:b/>
          <w:bCs/>
          <w:color w:val="2E75B6"/>
          <w:sz w:val="26"/>
          <w:szCs w:val="26"/>
        </w:rPr>
        <w:t xml:space="preserve">6.4 Assessment Time Profiles for RAFM</w:t>
      </w:r>
    </w:p>
    <w:p>
      <w:pPr>
        <w:spacing w:after="120" w:before="80"/>
      </w:pPr>
      <w:r>
        <w:rPr>
          <w:rFonts w:ascii="Arial" w:cs="Arial" w:eastAsia="Arial" w:hAnsi="Arial"/>
          <w:sz w:val="22"/>
          <w:szCs w:val="22"/>
        </w:rPr>
        <w:t xml:space="preserve">FluxForge should allow the user to select from pre-defined RAFM assessment profiles:</w:t>
      </w:r>
    </w:p>
    <w:p>
      <w:pPr>
        <w:pStyle w:val="ListParagraph"/>
        <w:numPr>
          <w:ilvl w:val="0"/>
          <w:numId w:val="2"/>
        </w:numPr>
        <w:spacing w:after="60" w:before="60"/>
        <w:ind w:left="720" w:hanging="360"/>
      </w:pPr>
      <w:r>
        <w:rPr>
          <w:rFonts w:ascii="Arial" w:cs="Arial" w:eastAsia="Arial" w:hAnsi="Arial"/>
          <w:b/>
          <w:bCs/>
          <w:sz w:val="22"/>
          <w:szCs w:val="22"/>
        </w:rPr>
        <w:t xml:space="preserve">Maintenance access (t = 1–24 h): </w:t>
      </w:r>
      <w:r>
        <w:rPr>
          <w:rFonts w:ascii="Arial" w:cs="Arial" w:eastAsia="Arial" w:hAnsi="Arial"/>
          <w:sz w:val="22"/>
          <w:szCs w:val="22"/>
        </w:rPr>
        <w:t xml:space="preserve">Weights dominated by ⁵⁶Mn, ¹⁸⁷W, ¹⁸³Cr</w:t>
      </w:r>
    </w:p>
    <w:p>
      <w:pPr>
        <w:pStyle w:val="ListParagraph"/>
        <w:numPr>
          <w:ilvl w:val="0"/>
          <w:numId w:val="2"/>
        </w:numPr>
        <w:spacing w:after="60" w:before="60"/>
        <w:ind w:left="720" w:hanging="360"/>
      </w:pPr>
      <w:r>
        <w:rPr>
          <w:rFonts w:ascii="Arial" w:cs="Arial" w:eastAsia="Arial" w:hAnsi="Arial"/>
          <w:b/>
          <w:bCs/>
          <w:sz w:val="22"/>
          <w:szCs w:val="22"/>
        </w:rPr>
        <w:t xml:space="preserve">Near-term waste classification (t = 30–180 d): </w:t>
      </w:r>
      <w:r>
        <w:rPr>
          <w:rFonts w:ascii="Arial" w:cs="Arial" w:eastAsia="Arial" w:hAnsi="Arial"/>
          <w:sz w:val="22"/>
          <w:szCs w:val="22"/>
        </w:rPr>
        <w:t xml:space="preserve">Weights dominated by ⁵⁹Fe, ⁵‴Mn, ¹⁸µW, ¹⁸¹W</w:t>
      </w:r>
    </w:p>
    <w:p>
      <w:pPr>
        <w:pStyle w:val="ListParagraph"/>
        <w:numPr>
          <w:ilvl w:val="0"/>
          <w:numId w:val="2"/>
        </w:numPr>
        <w:spacing w:after="60" w:before="60"/>
        <w:ind w:left="720" w:hanging="360"/>
      </w:pPr>
      <w:r>
        <w:rPr>
          <w:rFonts w:ascii="Arial" w:cs="Arial" w:eastAsia="Arial" w:hAnsi="Arial"/>
          <w:b/>
          <w:bCs/>
          <w:sz w:val="22"/>
          <w:szCs w:val="22"/>
        </w:rPr>
        <w:t xml:space="preserve">Long-term waste classification (t = 1–10 y): </w:t>
      </w:r>
      <w:r>
        <w:rPr>
          <w:rFonts w:ascii="Arial" w:cs="Arial" w:eastAsia="Arial" w:hAnsi="Arial"/>
          <w:sz w:val="22"/>
          <w:szCs w:val="22"/>
        </w:rPr>
        <w:t xml:space="preserve">Weights dominated by ⁵⁄Mn, ¹₈²Ta, remaining W isotopes</w:t>
      </w:r>
    </w:p>
    <w:p>
      <w:pPr>
        <w:pStyle w:val="ListParagraph"/>
        <w:numPr>
          <w:ilvl w:val="0"/>
          <w:numId w:val="2"/>
        </w:numPr>
        <w:spacing w:after="60" w:before="60"/>
        <w:ind w:left="720" w:hanging="360"/>
      </w:pPr>
      <w:r>
        <w:rPr>
          <w:rFonts w:ascii="Arial" w:cs="Arial" w:eastAsia="Arial" w:hAnsi="Arial"/>
          <w:b/>
          <w:bCs/>
          <w:sz w:val="22"/>
          <w:szCs w:val="22"/>
        </w:rPr>
        <w:t xml:space="preserve">Code validation sweep: </w:t>
      </w:r>
      <w:r>
        <w:rPr>
          <w:rFonts w:ascii="Arial" w:cs="Arial" w:eastAsia="Arial" w:hAnsi="Arial"/>
          <w:sz w:val="22"/>
          <w:szCs w:val="22"/>
        </w:rPr>
        <w:t xml:space="preserve">Equal weights for all measurable isotopes, maximizing information content for transport code benchmarking</w:t>
      </w:r>
    </w:p>
    <w:p>
      <w:pPr>
        <w:pStyle w:val="Heading2"/>
        <w:spacing w:after="120" w:before="300"/>
      </w:pPr>
      <w:r>
        <w:rPr>
          <w:rFonts w:ascii="Arial" w:cs="Arial" w:eastAsia="Arial" w:hAnsi="Arial"/>
          <w:b/>
          <w:bCs/>
          <w:color w:val="2E75B6"/>
          <w:sz w:val="26"/>
          <w:szCs w:val="26"/>
        </w:rPr>
        <w:t xml:space="preserve">6.5 FluxForge Implementation</w:t>
      </w:r>
    </w:p>
    <w:p>
      <w:pPr>
        <w:pStyle w:val="ListParagraph"/>
        <w:numPr>
          <w:ilvl w:val="0"/>
          <w:numId w:val="2"/>
        </w:numPr>
        <w:spacing w:after="60" w:before="60"/>
        <w:ind w:left="720" w:hanging="360"/>
      </w:pPr>
      <w:r>
        <w:rPr>
          <w:rFonts w:ascii="Arial" w:cs="Arial" w:eastAsia="Arial" w:hAnsi="Arial"/>
          <w:b/>
          <w:bCs/>
          <w:sz w:val="22"/>
          <w:szCs w:val="22"/>
        </w:rPr>
        <w:t xml:space="preserve">Extension of IrradiationOptimizer: </w:t>
      </w:r>
      <w:r>
        <w:rPr>
          <w:rFonts w:ascii="Arial" w:cs="Arial" w:eastAsia="Arial" w:hAnsi="Arial"/>
          <w:sz w:val="22"/>
          <w:szCs w:val="22"/>
        </w:rPr>
        <w:t xml:space="preserve">add Endpoint Profile selector (dropdown or user-defined weight table)</w:t>
      </w:r>
    </w:p>
    <w:p>
      <w:pPr>
        <w:pStyle w:val="ListParagraph"/>
        <w:numPr>
          <w:ilvl w:val="0"/>
          <w:numId w:val="2"/>
        </w:numPr>
        <w:spacing w:after="60" w:before="60"/>
        <w:ind w:left="720" w:hanging="360"/>
      </w:pPr>
      <w:r>
        <w:rPr>
          <w:rFonts w:ascii="Arial" w:cs="Arial" w:eastAsia="Arial" w:hAnsi="Arial"/>
          <w:b/>
          <w:bCs/>
          <w:sz w:val="22"/>
          <w:szCs w:val="22"/>
        </w:rPr>
        <w:t xml:space="preserve">Inputs: </w:t>
      </w:r>
      <w:r>
        <w:rPr>
          <w:rFonts w:ascii="Arial" w:cs="Arial" w:eastAsia="Arial" w:hAnsi="Arial"/>
          <w:sz w:val="22"/>
          <w:szCs w:val="22"/>
        </w:rPr>
        <w:t xml:space="preserve">all Method 1 inputs + assessment time tᵣᵈᵐ, endpoint type (SDR / Q / LTAS), dose coefficient library</w:t>
      </w:r>
    </w:p>
    <w:p>
      <w:pPr>
        <w:pStyle w:val="ListParagraph"/>
        <w:numPr>
          <w:ilvl w:val="0"/>
          <w:numId w:val="2"/>
        </w:numPr>
        <w:spacing w:after="60" w:before="60"/>
        <w:ind w:left="720" w:hanging="360"/>
      </w:pPr>
      <w:r>
        <w:rPr>
          <w:rFonts w:ascii="Arial" w:cs="Arial" w:eastAsia="Arial" w:hAnsi="Arial"/>
          <w:b/>
          <w:bCs/>
          <w:sz w:val="22"/>
          <w:szCs w:val="22"/>
        </w:rPr>
        <w:t xml:space="preserve">Outputs: </w:t>
      </w:r>
      <w:r>
        <w:rPr>
          <w:rFonts w:ascii="Arial" w:cs="Arial" w:eastAsia="Arial" w:hAnsi="Arial"/>
          <w:sz w:val="22"/>
          <w:szCs w:val="22"/>
        </w:rPr>
        <w:t xml:space="preserve">endpoint-ranked schedule table, isotope importance bar chart, predicted D(t) and Q(t) curves with uncertainty bands, comparison against ORIGEN/FISPACT predictions if loaded</w:t>
      </w:r>
    </w:p>
    <w:p>
      <w:pPr>
        <w:pStyle w:val="ListParagraph"/>
        <w:numPr>
          <w:ilvl w:val="0"/>
          <w:numId w:val="2"/>
        </w:numPr>
        <w:spacing w:after="60" w:before="60"/>
        <w:ind w:left="720" w:hanging="360"/>
      </w:pPr>
      <w:r>
        <w:rPr>
          <w:rFonts w:ascii="Arial" w:cs="Arial" w:eastAsia="Arial" w:hAnsi="Arial"/>
          <w:b/>
          <w:bCs/>
          <w:sz w:val="22"/>
          <w:szCs w:val="22"/>
        </w:rPr>
        <w:t xml:space="preserve">Computational cost: </w:t>
      </w:r>
      <w:r>
        <w:rPr>
          <w:rFonts w:ascii="Arial" w:cs="Arial" w:eastAsia="Arial" w:hAnsi="Arial"/>
          <w:sz w:val="22"/>
          <w:szCs w:val="22"/>
        </w:rPr>
        <w:t xml:space="preserve">Low. Weight computation is post-processing on Method 1/2 results. No additional optimization required.</w:t>
      </w:r>
    </w:p>
    <w:p>
      <w:pPr>
        <w:pBdr>
          <w:bottom w:val="single" w:color="2E75B6" w:sz="4" w:space="1"/>
        </w:pBdr>
        <w:spacing w:after="200" w:before="200"/>
      </w:pPr>
    </w:p>
    <w:p>
      <w:r>
        <w:br w:type="page"/>
      </w:r>
    </w:p>
    <w:p>
      <w:pPr>
        <w:pStyle w:val="Heading1"/>
        <w:spacing w:after="180" w:before="360"/>
      </w:pPr>
      <w:r>
        <w:rPr>
          <w:rFonts w:ascii="Arial" w:cs="Arial" w:eastAsia="Arial" w:hAnsi="Arial"/>
          <w:b/>
          <w:bCs/>
          <w:color w:val="1F4E79"/>
          <w:sz w:val="32"/>
          <w:szCs w:val="32"/>
        </w:rPr>
        <w:t xml:space="preserve">7. Method 4 (Novel): Posterior-Driven Adaptive Irradiation Design (PD-AID)</w:t>
      </w:r>
    </w:p>
    <w:p>
      <w:pPr>
        <w:spacing w:after="120" w:before="80"/>
      </w:pPr>
      <w:r>
        <w:rPr>
          <w:rFonts w:ascii="Arial" w:cs="Arial" w:eastAsia="Arial" w:hAnsi="Arial"/>
          <w:i/>
          <w:iCs/>
          <w:sz w:val="22"/>
          <w:szCs w:val="22"/>
        </w:rPr>
        <w:t xml:space="preserve">Based on: </w:t>
      </w:r>
      <w:r>
        <w:rPr>
          <w:rFonts w:ascii="Arial" w:cs="Arial" w:eastAsia="Arial" w:hAnsi="Arial"/>
          <w:sz w:val="22"/>
          <w:szCs w:val="22"/>
        </w:rPr>
        <w:t xml:space="preserve">Xu et al. (2020), Wübbeler et al. (2025), Tan et al. (2024), Blideanu et al. (2025)</w:t>
      </w:r>
    </w:p>
    <w:p>
      <w:pPr>
        <w:spacing w:after="120" w:before="80"/>
      </w:pPr>
      <w:r>
        <w:rPr>
          <w:rFonts w:ascii="Arial" w:cs="Arial" w:eastAsia="Arial" w:hAnsi="Arial"/>
          <w:b/>
          <w:bCs/>
          <w:sz w:val="22"/>
          <w:szCs w:val="22"/>
        </w:rPr>
        <w:t xml:space="preserve">Publication status: </w:t>
      </w:r>
      <w:r>
        <w:rPr>
          <w:rFonts w:ascii="Arial" w:cs="Arial" w:eastAsia="Arial" w:hAnsi="Arial"/>
          <w:sz w:val="22"/>
          <w:szCs w:val="22"/>
        </w:rPr>
        <w:t xml:space="preserve">This method is not present in the existing NAA optimization literature and constitutes an original contribution publishable at JINST, NIM-A, or Nuclear Engineering and Design.</w:t>
      </w:r>
    </w:p>
    <w:p>
      <w:pPr>
        <w:pStyle w:val="Heading2"/>
        <w:spacing w:after="120" w:before="300"/>
      </w:pPr>
      <w:r>
        <w:rPr>
          <w:rFonts w:ascii="Arial" w:cs="Arial" w:eastAsia="Arial" w:hAnsi="Arial"/>
          <w:b/>
          <w:bCs/>
          <w:color w:val="2E75B6"/>
          <w:sz w:val="26"/>
          <w:szCs w:val="26"/>
        </w:rPr>
        <w:t xml:space="preserve">7.1 Core Concept</w:t>
      </w:r>
    </w:p>
    <w:p>
      <w:pPr>
        <w:spacing w:after="120" w:before="80"/>
      </w:pPr>
      <w:r>
        <w:rPr>
          <w:rFonts w:ascii="Arial" w:cs="Arial" w:eastAsia="Arial" w:hAnsi="Arial"/>
          <w:sz w:val="22"/>
          <w:szCs w:val="22"/>
        </w:rPr>
        <w:t xml:space="preserve">Methods 1–3 are static: they optimize a schedule before any measurement is made. PD-AID is a fully adaptive, two-stage design framework. After the first irradiation and HPGe measurement are complete, the measured spectrum S₁ is used to compute a posterior distribution over the full isotope inventory. This posterior then drives the design of an optimal second irradiation that maximally resolves remaining uncertainties.</w:t>
      </w:r>
    </w:p>
    <w:p>
      <w:pPr>
        <w:spacing w:after="120" w:before="80"/>
      </w:pPr>
    </w:p>
    <w:p>
      <w:pPr>
        <w:spacing w:after="120" w:before="80"/>
      </w:pPr>
      <w:r>
        <w:rPr>
          <w:rFonts w:ascii="Arial" w:cs="Arial" w:eastAsia="Arial" w:hAnsi="Arial"/>
          <w:sz w:val="22"/>
          <w:szCs w:val="22"/>
        </w:rPr>
        <w:t xml:space="preserve">The key innovation is treating the first measurement not as the end of the experiment, but as data that transforms the prior over isotope activities into an informed posterior. The second irradiation is then chosen to extract maximum additional information conditioned on what was already learned.</w:t>
      </w:r>
    </w:p>
    <w:p>
      <w:pPr>
        <w:pStyle w:val="Heading2"/>
        <w:spacing w:after="120" w:before="300"/>
      </w:pPr>
      <w:r>
        <w:rPr>
          <w:rFonts w:ascii="Arial" w:cs="Arial" w:eastAsia="Arial" w:hAnsi="Arial"/>
          <w:b/>
          <w:bCs/>
          <w:color w:val="2E75B6"/>
          <w:sz w:val="26"/>
          <w:szCs w:val="26"/>
        </w:rPr>
        <w:t xml:space="preserve">7.2 Stage 1: Posterior Inference from First Spectrum</w:t>
      </w:r>
    </w:p>
    <w:p>
      <w:pPr>
        <w:spacing w:after="120" w:before="80"/>
      </w:pPr>
      <w:r>
        <w:rPr>
          <w:rFonts w:ascii="Arial" w:cs="Arial" w:eastAsia="Arial" w:hAnsi="Arial"/>
          <w:sz w:val="22"/>
          <w:szCs w:val="22"/>
        </w:rPr>
        <w:t xml:space="preserve">Using Wübbeler et al. (2025) as the inference framework, the posterior over isotope activities A = {Aᵢ} and detector parameters θ after the first measurement is:</w:t>
      </w:r>
    </w:p>
    <w:p>
      <w:pPr>
        <w:spacing w:after="160" w:before="160"/>
        <w:jc w:val="center"/>
      </w:pPr>
      <w:r>
        <w:rPr>
          <w:rFonts w:ascii="Courier New" w:cs="Courier New" w:eastAsia="Courier New" w:hAnsi="Courier New"/>
          <w:b/>
          <w:bCs/>
          <w:sz w:val="22"/>
          <w:szCs w:val="22"/>
        </w:rPr>
        <w:t xml:space="preserve">p(A, θ | S₁, Ω₁) ∝ p(S₁ | A, θ) · p(A | Ω₁) · p(θ)</w:t>
      </w:r>
    </w:p>
    <w:p>
      <w:pPr>
        <w:spacing w:after="120" w:before="80"/>
      </w:pPr>
      <w:r>
        <w:rPr>
          <w:rFonts w:ascii="Arial" w:cs="Arial" w:eastAsia="Arial" w:hAnsi="Arial"/>
          <w:sz w:val="22"/>
          <w:szCs w:val="22"/>
        </w:rPr>
        <w:t xml:space="preserve">where p(S₁ | A, θ) is the Poisson likelihood over all spectrum channels (full-spectrum, not just individual peaks), and p(A | Ω₁) is the prior over activities predicted by the Bateman model for schedule Ω₁. MCMC (e.g., NUTS/HMC) is used to sample this posterior, yielding a set of posterior samples {Aᵜ, θᵜ} from which marginal uncertainties, correlations, and masking hypotheses are computed.</w:t>
      </w:r>
    </w:p>
    <w:p>
      <w:pPr>
        <w:pStyle w:val="Heading2"/>
        <w:spacing w:after="120" w:before="300"/>
      </w:pPr>
      <w:r>
        <w:rPr>
          <w:rFonts w:ascii="Arial" w:cs="Arial" w:eastAsia="Arial" w:hAnsi="Arial"/>
          <w:b/>
          <w:bCs/>
          <w:color w:val="2E75B6"/>
          <w:sz w:val="26"/>
          <w:szCs w:val="26"/>
        </w:rPr>
        <w:t xml:space="preserve">7.3 Stage 2: Expected Information Gain for Second Irradiation</w:t>
      </w:r>
    </w:p>
    <w:p>
      <w:pPr>
        <w:spacing w:after="120" w:before="80"/>
      </w:pPr>
      <w:r>
        <w:rPr>
          <w:rFonts w:ascii="Arial" w:cs="Arial" w:eastAsia="Arial" w:hAnsi="Arial"/>
          <w:sz w:val="22"/>
          <w:szCs w:val="22"/>
        </w:rPr>
        <w:t xml:space="preserve">For a candidate second irradiation schedule Ω₂ = (tᵢᵣᵣ², tᵈ², tᶜ²), the Expected Information Gain (EIG) conditioned on the first measurement is:</w:t>
      </w:r>
    </w:p>
    <w:p>
      <w:pPr>
        <w:spacing w:after="160" w:before="160"/>
        <w:jc w:val="center"/>
      </w:pPr>
      <w:r>
        <w:rPr>
          <w:rFonts w:ascii="Courier New" w:cs="Courier New" w:eastAsia="Courier New" w:hAnsi="Courier New"/>
          <w:b/>
          <w:bCs/>
          <w:sz w:val="22"/>
          <w:szCs w:val="22"/>
        </w:rPr>
        <w:t xml:space="preserve">EIG(Ω₂ | S₁) = ∫ p(S₂ | S₁, Ω₂) · KL[ p(A | S₁, S₂, Ω₂) || p(A | S₁) ] dS₂</w:t>
      </w:r>
    </w:p>
    <w:p>
      <w:pPr>
        <w:spacing w:after="120" w:before="80"/>
      </w:pPr>
      <w:r>
        <w:rPr>
          <w:rFonts w:ascii="Arial" w:cs="Arial" w:eastAsia="Arial" w:hAnsi="Arial"/>
          <w:sz w:val="22"/>
          <w:szCs w:val="22"/>
        </w:rPr>
        <w:t xml:space="preserve">This is the expected KL-divergence between the posterior after both measurements and the posterior after only the first. It quantifies how much additional information the second irradiation is expected to provide, averaged over all possible second spectra consistent with the current posterior.</w:t>
      </w:r>
    </w:p>
    <w:p>
      <w:pPr>
        <w:spacing w:after="120" w:before="80"/>
      </w:pPr>
    </w:p>
    <w:p>
      <w:pPr>
        <w:spacing w:after="120" w:before="80"/>
      </w:pPr>
      <w:r>
        <w:rPr>
          <w:rFonts w:ascii="Arial" w:cs="Arial" w:eastAsia="Arial" w:hAnsi="Arial"/>
          <w:b/>
          <w:bCs/>
          <w:sz w:val="22"/>
          <w:szCs w:val="22"/>
        </w:rPr>
        <w:t xml:space="preserve">Computation of EIG: </w:t>
      </w:r>
      <w:r>
        <w:rPr>
          <w:rFonts w:ascii="Arial" w:cs="Arial" w:eastAsia="Arial" w:hAnsi="Arial"/>
          <w:sz w:val="22"/>
          <w:szCs w:val="22"/>
        </w:rPr>
        <w:t xml:space="preserve">The double integral over S₂ and A is intractable analytically. Following Xu et al. (2020), a Gaussian Process (GP) surrogate model is trained over the EIG surface in the 3D schedule space (Ω₂), using a small number of expensive Monte Carlo EIG evaluations:</w:t>
      </w:r>
    </w:p>
    <w:p>
      <w:pPr>
        <w:spacing w:after="160" w:before="160"/>
        <w:jc w:val="center"/>
      </w:pPr>
      <w:r>
        <w:rPr>
          <w:rFonts w:ascii="Courier New" w:cs="Courier New" w:eastAsia="Courier New" w:hAnsi="Courier New"/>
          <w:b/>
          <w:bCs/>
          <w:sz w:val="22"/>
          <w:szCs w:val="22"/>
        </w:rPr>
        <w:t xml:space="preserve">EIGᵏᵏ(Ω₂) ≈ (1/L) Σ_l KL[ qᵏ(A | S₂ᵏ) || p(A | S₁) ]</w:t>
      </w:r>
    </w:p>
    <w:p>
      <w:pPr>
        <w:spacing w:after="120" w:before="80"/>
      </w:pPr>
      <w:r>
        <w:rPr>
          <w:rFonts w:ascii="Arial" w:cs="Arial" w:eastAsia="Arial" w:hAnsi="Arial"/>
          <w:sz w:val="22"/>
          <w:szCs w:val="22"/>
        </w:rPr>
        <w:t xml:space="preserve">where S₂ᵏ ∼ p(S₂ | Aᵏ, Ω₂) are simulated second spectra drawn from L posterior samples Aᵏ, and qᵏ is an approximate posterior conditioned on both spectra (using variational inference or a Laplace approximation for speed). The GP surrogate then predicts EIG across the full schedule space, enabling efficient Bayesian optimization.</w:t>
      </w:r>
    </w:p>
    <w:p>
      <w:pPr>
        <w:pStyle w:val="Heading2"/>
        <w:spacing w:after="120" w:before="300"/>
      </w:pPr>
      <w:r>
        <w:rPr>
          <w:rFonts w:ascii="Arial" w:cs="Arial" w:eastAsia="Arial" w:hAnsi="Arial"/>
          <w:b/>
          <w:bCs/>
          <w:color w:val="2E75B6"/>
          <w:sz w:val="26"/>
          <w:szCs w:val="26"/>
        </w:rPr>
        <w:t xml:space="preserve">7.4 Masking Disambiguation as a Design Objective</w:t>
      </w:r>
    </w:p>
    <w:p>
      <w:pPr>
        <w:spacing w:after="120" w:before="80"/>
      </w:pPr>
      <w:r>
        <w:rPr>
          <w:rFonts w:ascii="Arial" w:cs="Arial" w:eastAsia="Arial" w:hAnsi="Arial"/>
          <w:sz w:val="22"/>
          <w:szCs w:val="22"/>
        </w:rPr>
        <w:t xml:space="preserve">A distinct feature of PD-AID not found in classical NAA optimization literature is the use of hypothesis discrimination as an objective. After the first spectrum, competing masking hypotheses H₀ and H₁ may exist (e.g., H₀: ⁵⁹Fe line at 1099 keV is clean; H₁: it is contaminated by a trace Co impurity). The second irradiation can be designed to maximally discriminate these hypotheses:</w:t>
      </w:r>
    </w:p>
    <w:p>
      <w:pPr>
        <w:spacing w:after="160" w:before="160"/>
        <w:jc w:val="center"/>
      </w:pPr>
      <w:r>
        <w:rPr>
          <w:rFonts w:ascii="Courier New" w:cs="Courier New" w:eastAsia="Courier New" w:hAnsi="Courier New"/>
          <w:b/>
          <w:bCs/>
          <w:sz w:val="22"/>
          <w:szCs w:val="22"/>
        </w:rPr>
        <w:t xml:space="preserve">EIG_hyp(Ω₂ | S₁) = ∫ p(S₂ | S₁, Ω₂) · KL[ p(H | S₁, S₂) || p(H | S₁) ] dS₂</w:t>
      </w:r>
    </w:p>
    <w:p>
      <w:pPr>
        <w:spacing w:after="120" w:before="80"/>
      </w:pPr>
      <w:r>
        <w:rPr>
          <w:rFonts w:ascii="Arial" w:cs="Arial" w:eastAsia="Arial" w:hAnsi="Arial"/>
          <w:sz w:val="22"/>
          <w:szCs w:val="22"/>
        </w:rPr>
        <w:t xml:space="preserve">For RAFM, the most useful masking disambiguation scenarios are: (1) W isotope separation via half-life discrimination, exploiting the different T½ of ¹⁸·W (23.9h), ¹⁸⁵W (75d), and ¹⁸¹W (121d); and (2) verification that ⁵⁴Mn is produced by (n,p) on Fe and not by trace Mn impurity activation, using a second irradiation with a Cd filter to suppress thermal flux and alter the Mn/Fe activity ratio.</w:t>
      </w:r>
    </w:p>
    <w:p>
      <w:pPr>
        <w:pStyle w:val="Heading2"/>
        <w:spacing w:after="120" w:before="300"/>
      </w:pPr>
      <w:r>
        <w:rPr>
          <w:rFonts w:ascii="Arial" w:cs="Arial" w:eastAsia="Arial" w:hAnsi="Arial"/>
          <w:b/>
          <w:bCs/>
          <w:color w:val="2E75B6"/>
          <w:sz w:val="26"/>
          <w:szCs w:val="26"/>
        </w:rPr>
        <w:t xml:space="preserve">7.5 Cadmium Ratio Modulation: A UWNR-Specific Design Variable</w:t>
      </w:r>
    </w:p>
    <w:p>
      <w:pPr>
        <w:spacing w:after="120" w:before="80"/>
      </w:pPr>
      <w:r>
        <w:rPr>
          <w:rFonts w:ascii="Arial" w:cs="Arial" w:eastAsia="Arial" w:hAnsi="Arial"/>
          <w:sz w:val="22"/>
          <w:szCs w:val="22"/>
        </w:rPr>
        <w:t xml:space="preserve">A novel addition available at UWNR is that the Cd ratio at the irradiation position can be varied by inserting a cadmium cover over the sample capsule. This changes the effective thermal-to-epithermal flux ratio and thus differentially affects isotopes with different resonance integrals. PD-AID can include the Cd cover state (κ ∈ {bare, Cd-covered}) as a fourth design variable:</w:t>
      </w:r>
    </w:p>
    <w:p>
      <w:pPr>
        <w:spacing w:after="160" w:before="160"/>
        <w:jc w:val="center"/>
      </w:pPr>
      <w:r>
        <w:rPr>
          <w:rFonts w:ascii="Courier New" w:cs="Courier New" w:eastAsia="Courier New" w:hAnsi="Courier New"/>
          <w:b/>
          <w:bCs/>
          <w:sz w:val="22"/>
          <w:szCs w:val="22"/>
        </w:rPr>
        <w:t xml:space="preserve">Ω₂ = (tᵢᵣᵣ², tᵈ², tᶜ², κ²)</w:t>
      </w:r>
    </w:p>
    <w:p>
      <w:pPr>
        <w:spacing w:after="120" w:before="80"/>
      </w:pPr>
      <w:r>
        <w:rPr>
          <w:rFonts w:ascii="Arial" w:cs="Arial" w:eastAsia="Arial" w:hAnsi="Arial"/>
          <w:sz w:val="22"/>
          <w:szCs w:val="22"/>
        </w:rPr>
        <w:t xml:space="preserve">This allows the optimizer to recommend, for example, a Cd-covered second irradiation to selectively enhance epithermal activation in W (high resonance integral) relative to Fe (lower resonance integral), enabling better separation of W and Fe activation pathways. This capability is novel in the context of RAFM activation analysis and is not found in existing NAA optimization literature.</w:t>
      </w:r>
    </w:p>
    <w:p>
      <w:pPr>
        <w:pStyle w:val="Heading2"/>
        <w:spacing w:after="120" w:before="300"/>
      </w:pPr>
      <w:r>
        <w:rPr>
          <w:rFonts w:ascii="Arial" w:cs="Arial" w:eastAsia="Arial" w:hAnsi="Arial"/>
          <w:b/>
          <w:bCs/>
          <w:color w:val="2E75B6"/>
          <w:sz w:val="26"/>
          <w:szCs w:val="26"/>
        </w:rPr>
        <w:t xml:space="preserve">7.6 Algorithm Summary</w:t>
      </w:r>
    </w:p>
    <w:p>
      <w:pPr>
        <w:pStyle w:val="ListParagraph"/>
        <w:numPr>
          <w:ilvl w:val="0"/>
          <w:numId w:val="3"/>
        </w:numPr>
        <w:spacing w:after="60" w:before="60"/>
        <w:ind w:left="720" w:hanging="360"/>
      </w:pPr>
      <w:r>
        <w:rPr>
          <w:rFonts w:ascii="Arial" w:cs="Arial" w:eastAsia="Arial" w:hAnsi="Arial"/>
          <w:b/>
          <w:bCs/>
          <w:sz w:val="22"/>
          <w:szCs w:val="22"/>
        </w:rPr>
        <w:t xml:space="preserve">Run first irradiation: </w:t>
      </w:r>
      <w:r>
        <w:rPr>
          <w:rFonts w:ascii="Arial" w:cs="Arial" w:eastAsia="Arial" w:hAnsi="Arial"/>
          <w:sz w:val="22"/>
          <w:szCs w:val="22"/>
        </w:rPr>
        <w:t xml:space="preserve">Schedule Ω₁ from Method 1 or 2.</w:t>
      </w:r>
    </w:p>
    <w:p>
      <w:pPr>
        <w:pStyle w:val="ListParagraph"/>
        <w:numPr>
          <w:ilvl w:val="0"/>
          <w:numId w:val="3"/>
        </w:numPr>
        <w:spacing w:after="60" w:before="60"/>
        <w:ind w:left="720" w:hanging="360"/>
      </w:pPr>
      <w:r>
        <w:rPr>
          <w:rFonts w:ascii="Arial" w:cs="Arial" w:eastAsia="Arial" w:hAnsi="Arial"/>
          <w:b/>
          <w:bCs/>
          <w:sz w:val="22"/>
          <w:szCs w:val="22"/>
        </w:rPr>
        <w:t xml:space="preserve">Acquire first HPGe spectrum S₁.</w:t>
      </w:r>
      <w:r>
        <w:rPr>
          <w:rFonts w:ascii="Arial" w:cs="Arial" w:eastAsia="Arial" w:hAnsi="Arial"/>
          <w:sz w:val="22"/>
          <w:szCs w:val="22"/>
        </w:rPr>
        <w:t xml:space="preserve"/>
      </w:r>
    </w:p>
    <w:p>
      <w:pPr>
        <w:pStyle w:val="ListParagraph"/>
        <w:numPr>
          <w:ilvl w:val="0"/>
          <w:numId w:val="3"/>
        </w:numPr>
        <w:spacing w:after="60" w:before="60"/>
        <w:ind w:left="720" w:hanging="360"/>
      </w:pPr>
      <w:r>
        <w:rPr>
          <w:rFonts w:ascii="Arial" w:cs="Arial" w:eastAsia="Arial" w:hAnsi="Arial"/>
          <w:b/>
          <w:bCs/>
          <w:sz w:val="22"/>
          <w:szCs w:val="22"/>
        </w:rPr>
        <w:t xml:space="preserve">Compute posterior: </w:t>
      </w:r>
      <w:r>
        <w:rPr>
          <w:rFonts w:ascii="Arial" w:cs="Arial" w:eastAsia="Arial" w:hAnsi="Arial"/>
          <w:sz w:val="22"/>
          <w:szCs w:val="22"/>
        </w:rPr>
        <w:t xml:space="preserve">Run MCMC full-spectrum inference (Wübbeler framework) to sample p(A, θ | S₁, Ω₁).</w:t>
      </w:r>
    </w:p>
    <w:p>
      <w:pPr>
        <w:pStyle w:val="ListParagraph"/>
        <w:numPr>
          <w:ilvl w:val="0"/>
          <w:numId w:val="3"/>
        </w:numPr>
        <w:spacing w:after="60" w:before="60"/>
        <w:ind w:left="720" w:hanging="360"/>
      </w:pPr>
      <w:r>
        <w:rPr>
          <w:rFonts w:ascii="Arial" w:cs="Arial" w:eastAsia="Arial" w:hAnsi="Arial"/>
          <w:b/>
          <w:bCs/>
          <w:sz w:val="22"/>
          <w:szCs w:val="22"/>
        </w:rPr>
        <w:t xml:space="preserve">Identify information gaps: </w:t>
      </w:r>
      <w:r>
        <w:rPr>
          <w:rFonts w:ascii="Arial" w:cs="Arial" w:eastAsia="Arial" w:hAnsi="Arial"/>
          <w:sz w:val="22"/>
          <w:szCs w:val="22"/>
        </w:rPr>
        <w:t xml:space="preserve">Compute marginal posterior variances per isotope and masking hypothesis probabilities.</w:t>
      </w:r>
    </w:p>
    <w:p>
      <w:pPr>
        <w:pStyle w:val="ListParagraph"/>
        <w:numPr>
          <w:ilvl w:val="0"/>
          <w:numId w:val="3"/>
        </w:numPr>
        <w:spacing w:after="60" w:before="60"/>
        <w:ind w:left="720" w:hanging="360"/>
      </w:pPr>
      <w:r>
        <w:rPr>
          <w:rFonts w:ascii="Arial" w:cs="Arial" w:eastAsia="Arial" w:hAnsi="Arial"/>
          <w:b/>
          <w:bCs/>
          <w:sz w:val="22"/>
          <w:szCs w:val="22"/>
        </w:rPr>
        <w:t xml:space="preserve">Compute GP-surrogate EIG surface: </w:t>
      </w:r>
      <w:r>
        <w:rPr>
          <w:rFonts w:ascii="Arial" w:cs="Arial" w:eastAsia="Arial" w:hAnsi="Arial"/>
          <w:sz w:val="22"/>
          <w:szCs w:val="22"/>
        </w:rPr>
        <w:t xml:space="preserve">Evaluate EIGᵏᵻᵢ at Nᵢᵏᵢᵻ = 20–50 candidate Ω₂ points. Fit GP surrogate.</w:t>
      </w:r>
    </w:p>
    <w:p>
      <w:pPr>
        <w:pStyle w:val="ListParagraph"/>
        <w:numPr>
          <w:ilvl w:val="0"/>
          <w:numId w:val="3"/>
        </w:numPr>
        <w:spacing w:after="60" w:before="60"/>
        <w:ind w:left="720" w:hanging="360"/>
      </w:pPr>
      <w:r>
        <w:rPr>
          <w:rFonts w:ascii="Arial" w:cs="Arial" w:eastAsia="Arial" w:hAnsi="Arial"/>
          <w:b/>
          <w:bCs/>
          <w:sz w:val="22"/>
          <w:szCs w:val="22"/>
        </w:rPr>
        <w:t xml:space="preserve">Recommend second irradiation: </w:t>
      </w:r>
      <w:r>
        <w:rPr>
          <w:rFonts w:ascii="Arial" w:cs="Arial" w:eastAsia="Arial" w:hAnsi="Arial"/>
          <w:sz w:val="22"/>
          <w:szCs w:val="22"/>
        </w:rPr>
        <w:t xml:space="preserve">Return top-K second schedules ranked by EIG, with predicted posterior improvement plots.</w:t>
      </w:r>
    </w:p>
    <w:p>
      <w:pPr>
        <w:pStyle w:val="ListParagraph"/>
        <w:numPr>
          <w:ilvl w:val="0"/>
          <w:numId w:val="3"/>
        </w:numPr>
        <w:spacing w:after="60" w:before="60"/>
        <w:ind w:left="720" w:hanging="360"/>
      </w:pPr>
      <w:r>
        <w:rPr>
          <w:rFonts w:ascii="Arial" w:cs="Arial" w:eastAsia="Arial" w:hAnsi="Arial"/>
          <w:b/>
          <w:bCs/>
          <w:sz w:val="22"/>
          <w:szCs w:val="22"/>
        </w:rPr>
        <w:t xml:space="preserve">Run second irradiation and acquire S₂.</w:t>
      </w:r>
      <w:r>
        <w:rPr>
          <w:rFonts w:ascii="Arial" w:cs="Arial" w:eastAsia="Arial" w:hAnsi="Arial"/>
          <w:sz w:val="22"/>
          <w:szCs w:val="22"/>
        </w:rPr>
        <w:t xml:space="preserve"/>
      </w:r>
    </w:p>
    <w:p>
      <w:pPr>
        <w:pStyle w:val="ListParagraph"/>
        <w:numPr>
          <w:ilvl w:val="0"/>
          <w:numId w:val="3"/>
        </w:numPr>
        <w:spacing w:after="60" w:before="60"/>
        <w:ind w:left="720" w:hanging="360"/>
      </w:pPr>
      <w:r>
        <w:rPr>
          <w:rFonts w:ascii="Arial" w:cs="Arial" w:eastAsia="Arial" w:hAnsi="Arial"/>
          <w:b/>
          <w:bCs/>
          <w:sz w:val="22"/>
          <w:szCs w:val="22"/>
        </w:rPr>
        <w:t xml:space="preserve">Update posterior: </w:t>
      </w:r>
      <w:r>
        <w:rPr>
          <w:rFonts w:ascii="Arial" w:cs="Arial" w:eastAsia="Arial" w:hAnsi="Arial"/>
          <w:sz w:val="22"/>
          <w:szCs w:val="22"/>
        </w:rPr>
        <w:t xml:space="preserve">Compute final p(A | S₁, S₂, Ω₁, Ω₂) for export.</w:t>
      </w:r>
    </w:p>
    <w:p>
      <w:pPr>
        <w:pStyle w:val="Heading2"/>
        <w:spacing w:after="120" w:before="300"/>
      </w:pPr>
      <w:r>
        <w:rPr>
          <w:rFonts w:ascii="Arial" w:cs="Arial" w:eastAsia="Arial" w:hAnsi="Arial"/>
          <w:b/>
          <w:bCs/>
          <w:color w:val="2E75B6"/>
          <w:sz w:val="26"/>
          <w:szCs w:val="26"/>
        </w:rPr>
        <w:t xml:space="preserve">7.7 FluxForge Implementation</w:t>
      </w:r>
    </w:p>
    <w:p>
      <w:pPr>
        <w:pStyle w:val="ListParagraph"/>
        <w:numPr>
          <w:ilvl w:val="0"/>
          <w:numId w:val="2"/>
        </w:numPr>
        <w:spacing w:after="60" w:before="60"/>
        <w:ind w:left="720" w:hanging="360"/>
      </w:pPr>
      <w:r>
        <w:rPr>
          <w:rFonts w:ascii="Arial" w:cs="Arial" w:eastAsia="Arial" w:hAnsi="Arial"/>
          <w:b/>
          <w:bCs/>
          <w:sz w:val="22"/>
          <w:szCs w:val="22"/>
        </w:rPr>
        <w:t xml:space="preserve">New module: </w:t>
      </w:r>
      <w:r>
        <w:rPr>
          <w:rFonts w:ascii="Arial" w:cs="Arial" w:eastAsia="Arial" w:hAnsi="Arial"/>
          <w:sz w:val="22"/>
          <w:szCs w:val="22"/>
        </w:rPr>
        <w:t xml:space="preserve">AdaptiveIrradiationDesigner (Phase 3.18+ candidate, builds on IrradiationOptimizer)</w:t>
      </w:r>
    </w:p>
    <w:p>
      <w:pPr>
        <w:pStyle w:val="ListParagraph"/>
        <w:numPr>
          <w:ilvl w:val="0"/>
          <w:numId w:val="2"/>
        </w:numPr>
        <w:spacing w:after="60" w:before="60"/>
        <w:ind w:left="720" w:hanging="360"/>
      </w:pPr>
      <w:r>
        <w:rPr>
          <w:rFonts w:ascii="Arial" w:cs="Arial" w:eastAsia="Arial" w:hAnsi="Arial"/>
          <w:b/>
          <w:bCs/>
          <w:sz w:val="22"/>
          <w:szCs w:val="22"/>
        </w:rPr>
        <w:t xml:space="preserve">Requires: </w:t>
      </w:r>
      <w:r>
        <w:rPr>
          <w:rFonts w:ascii="Arial" w:cs="Arial" w:eastAsia="Arial" w:hAnsi="Arial"/>
          <w:sz w:val="22"/>
          <w:szCs w:val="22"/>
        </w:rPr>
        <w:t xml:space="preserve">FluxForge's existing Bayesian line matching and MCMC inference infrastructure; new GP surrogate engine (GPyTorch or scikit-learn GP)</w:t>
      </w:r>
    </w:p>
    <w:p>
      <w:pPr>
        <w:pStyle w:val="ListParagraph"/>
        <w:numPr>
          <w:ilvl w:val="0"/>
          <w:numId w:val="2"/>
        </w:numPr>
        <w:spacing w:after="60" w:before="60"/>
        <w:ind w:left="720" w:hanging="360"/>
      </w:pPr>
      <w:r>
        <w:rPr>
          <w:rFonts w:ascii="Arial" w:cs="Arial" w:eastAsia="Arial" w:hAnsi="Arial"/>
          <w:b/>
          <w:bCs/>
          <w:sz w:val="22"/>
          <w:szCs w:val="22"/>
        </w:rPr>
        <w:t xml:space="preserve">Inputs: </w:t>
      </w:r>
      <w:r>
        <w:rPr>
          <w:rFonts w:ascii="Arial" w:cs="Arial" w:eastAsia="Arial" w:hAnsi="Arial"/>
          <w:sz w:val="22"/>
          <w:szCs w:val="22"/>
        </w:rPr>
        <w:t xml:space="preserve">First measured spectrum file, first schedule Ω₁, flux spectrum, HPGe efficiency curve, campaign constraints, Cd-cover availability flag</w:t>
      </w:r>
    </w:p>
    <w:p>
      <w:pPr>
        <w:pStyle w:val="ListParagraph"/>
        <w:numPr>
          <w:ilvl w:val="0"/>
          <w:numId w:val="2"/>
        </w:numPr>
        <w:spacing w:after="60" w:before="60"/>
        <w:ind w:left="720" w:hanging="360"/>
      </w:pPr>
      <w:r>
        <w:rPr>
          <w:rFonts w:ascii="Arial" w:cs="Arial" w:eastAsia="Arial" w:hAnsi="Arial"/>
          <w:b/>
          <w:bCs/>
          <w:sz w:val="22"/>
          <w:szCs w:val="22"/>
        </w:rPr>
        <w:t xml:space="preserve">Outputs: </w:t>
      </w:r>
      <w:r>
        <w:rPr>
          <w:rFonts w:ascii="Arial" w:cs="Arial" w:eastAsia="Arial" w:hAnsi="Arial"/>
          <w:sz w:val="22"/>
          <w:szCs w:val="22"/>
        </w:rPr>
        <w:t xml:space="preserve">Ranked second-irradiation schedule recommendations, EIG surface plot, per-isotope posterior narrowing predictions, masking disambiguation probability charts, final combined posterior over all isotope activities</w:t>
      </w:r>
    </w:p>
    <w:p>
      <w:pPr>
        <w:pStyle w:val="ListParagraph"/>
        <w:numPr>
          <w:ilvl w:val="0"/>
          <w:numId w:val="2"/>
        </w:numPr>
        <w:spacing w:after="60" w:before="60"/>
        <w:ind w:left="720" w:hanging="360"/>
      </w:pPr>
      <w:r>
        <w:rPr>
          <w:rFonts w:ascii="Arial" w:cs="Arial" w:eastAsia="Arial" w:hAnsi="Arial"/>
          <w:b/>
          <w:bCs/>
          <w:sz w:val="22"/>
          <w:szCs w:val="22"/>
        </w:rPr>
        <w:t xml:space="preserve">Computational cost: </w:t>
      </w:r>
      <w:r>
        <w:rPr>
          <w:rFonts w:ascii="Arial" w:cs="Arial" w:eastAsia="Arial" w:hAnsi="Arial"/>
          <w:sz w:val="22"/>
          <w:szCs w:val="22"/>
        </w:rPr>
        <w:t xml:space="preserve">High for MCMC (minutes on desktop GPU). GP surrogate inference fast (&lt; 1s). Total PD-AID recommendation workflow: ~5–15 minutes after first spectrum acquisition.</w:t>
      </w:r>
    </w:p>
    <w:p>
      <w:pPr>
        <w:pStyle w:val="ListParagraph"/>
        <w:numPr>
          <w:ilvl w:val="0"/>
          <w:numId w:val="2"/>
        </w:numPr>
        <w:spacing w:after="60" w:before="60"/>
        <w:ind w:left="720" w:hanging="360"/>
      </w:pPr>
      <w:r>
        <w:rPr>
          <w:rFonts w:ascii="Arial" w:cs="Arial" w:eastAsia="Arial" w:hAnsi="Arial"/>
          <w:b/>
          <w:bCs/>
          <w:sz w:val="22"/>
          <w:szCs w:val="22"/>
        </w:rPr>
        <w:t xml:space="preserve">Publication path: </w:t>
      </w:r>
      <w:r>
        <w:rPr>
          <w:rFonts w:ascii="Arial" w:cs="Arial" w:eastAsia="Arial" w:hAnsi="Arial"/>
          <w:sz w:val="22"/>
          <w:szCs w:val="22"/>
        </w:rPr>
        <w:t xml:space="preserve">Methodology section for NIM-A or JINST, applied to RAFM case study at UWNR. Novelty claim: first use of posterior-conditioned EIG with Cd-ratio modulation as a design variable for RAFM activation analysis.</w:t>
      </w:r>
    </w:p>
    <w:p>
      <w:pPr>
        <w:pBdr>
          <w:bottom w:val="single" w:color="2E75B6" w:sz="4" w:space="1"/>
        </w:pBdr>
        <w:spacing w:after="200" w:before="200"/>
      </w:pPr>
    </w:p>
    <w:p>
      <w:r>
        <w:br w:type="page"/>
      </w:r>
    </w:p>
    <w:p>
      <w:pPr>
        <w:pStyle w:val="Heading1"/>
        <w:spacing w:after="180" w:before="360"/>
      </w:pPr>
      <w:r>
        <w:rPr>
          <w:rFonts w:ascii="Arial" w:cs="Arial" w:eastAsia="Arial" w:hAnsi="Arial"/>
          <w:b/>
          <w:bCs/>
          <w:color w:val="1F4E79"/>
          <w:sz w:val="32"/>
          <w:szCs w:val="32"/>
        </w:rPr>
        <w:t xml:space="preserve">8. Method Comparison Matrix</w:t>
      </w:r>
    </w:p>
    <w:p>
      <w:pPr>
        <w:spacing w:after="12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800"/>
        <w:gridCol w:w="800"/>
        <w:gridCol w:w="800"/>
        <w:gridCol w:w="800"/>
        <w:gridCol w:w="800"/>
        <w:gridCol w:w="800"/>
        <w:gridCol w:w="64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1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M1: Deterministic Multi-Peak</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M2: Split-Irrad. Bayesian</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M3: Endpoint-Weighted</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M4: PD-AID (Novel)</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r>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Attribute</w:t>
            </w:r>
          </w:p>
        </w:tc>
        <w:tc>
          <w:tcPr>
            <w:tcW w:type="dxa" w:w="1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Multi-peak jointly?</w:t>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Masking explicit?</w:t>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Rigorous uncertainty?</w:t>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Second irrad. support?</w:t>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Endpoint objective?</w:t>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Comp. cost</w:t>
            </w:r>
          </w:p>
        </w:tc>
        <w:tc>
          <w:tcPr>
            <w:tcW w:type="dxa" w:w="6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222222"/>
                <w:sz w:val="18"/>
                <w:szCs w:val="18"/>
              </w:rPr>
              <w:t xml:space="preserve">Novelty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Objective function</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Weighted sum Σ wᵢ(σ/A)²</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Partial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8B0000"/>
                <w:sz w:val="18"/>
                <w:szCs w:val="18"/>
              </w:rPr>
              <w:t xml:space="preserve">No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8B0000"/>
                <w:sz w:val="18"/>
                <w:szCs w:val="18"/>
              </w:rPr>
              <w:t xml:space="preserve">No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Low</w:t>
            </w:r>
          </w:p>
        </w:tc>
        <w:tc>
          <w:tcPr>
            <w:tcW w:type="dxa" w:w="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Low</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Objective function</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Propagated mass frac. uncertainty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8B0000"/>
                <w:sz w:val="18"/>
                <w:szCs w:val="18"/>
              </w:rPr>
              <w:t xml:space="preserve">No</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Medium</w:t>
            </w:r>
          </w:p>
        </w:tc>
        <w:tc>
          <w:tcPr>
            <w:tcW w:type="dxa" w:w="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Low</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Objective function</w:t>
            </w:r>
          </w:p>
        </w:tc>
        <w:tc>
          <w:tcPr>
            <w:tcW w:type="dxa" w:w="1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Endpoint-weighted Σ wᵢᴬᴬᴬ(σ/A)²</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Low</w:t>
            </w:r>
          </w:p>
        </w:tc>
        <w:tc>
          <w:tcPr>
            <w:tcW w:type="dxa" w:w="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Medium</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Objective function</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Posterior-conditioned EIG (GP surrogate)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1F6B2E"/>
                <w:sz w:val="18"/>
                <w:szCs w:val="18"/>
              </w:rPr>
              <w:t xml:space="preserve">Yes</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Partial</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High</w:t>
            </w:r>
          </w:p>
        </w:tc>
        <w:tc>
          <w:tcPr>
            <w:tcW w:type="dxa" w:w="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555555"/>
                <w:sz w:val="18"/>
                <w:szCs w:val="18"/>
              </w:rPr>
              <w:t xml:space="preserve">High</w:t>
            </w:r>
          </w:p>
        </w:tc>
      </w:tr>
    </w:tbl>
    <w:p>
      <w:pPr>
        <w:spacing w:after="120" w:before="200"/>
      </w:pPr>
    </w:p>
    <w:p>
      <w:pPr>
        <w:pStyle w:val="Heading1"/>
        <w:spacing w:after="180" w:before="360"/>
      </w:pPr>
      <w:r>
        <w:rPr>
          <w:rFonts w:ascii="Arial" w:cs="Arial" w:eastAsia="Arial" w:hAnsi="Arial"/>
          <w:b/>
          <w:bCs/>
          <w:color w:val="1F4E79"/>
          <w:sz w:val="32"/>
          <w:szCs w:val="32"/>
        </w:rPr>
        <w:t xml:space="preserve">9. FluxForge Implementation Roadmap</w:t>
      </w:r>
    </w:p>
    <w:p>
      <w:pPr>
        <w:pStyle w:val="Heading2"/>
        <w:spacing w:after="120" w:before="300"/>
      </w:pPr>
      <w:r>
        <w:rPr>
          <w:rFonts w:ascii="Arial" w:cs="Arial" w:eastAsia="Arial" w:hAnsi="Arial"/>
          <w:b/>
          <w:bCs/>
          <w:color w:val="2E75B6"/>
          <w:sz w:val="26"/>
          <w:szCs w:val="26"/>
        </w:rPr>
        <w:t xml:space="preserve">Phase 3.17 — IrradiationOptimizer (Methods 1 and 3)</w:t>
      </w:r>
    </w:p>
    <w:p>
      <w:pPr>
        <w:pStyle w:val="ListParagraph"/>
        <w:numPr>
          <w:ilvl w:val="0"/>
          <w:numId w:val="2"/>
        </w:numPr>
        <w:spacing w:after="60" w:before="60"/>
        <w:ind w:left="720" w:hanging="360"/>
      </w:pPr>
      <w:r>
        <w:rPr>
          <w:rFonts w:ascii="Arial" w:cs="Arial" w:eastAsia="Arial" w:hAnsi="Arial"/>
          <w:sz w:val="22"/>
          <w:szCs w:val="22"/>
        </w:rPr>
        <w:t xml:space="preserve">Implement Bateman forward model with matrix exponential solver</w:t>
      </w:r>
    </w:p>
    <w:p>
      <w:pPr>
        <w:pStyle w:val="ListParagraph"/>
        <w:numPr>
          <w:ilvl w:val="0"/>
          <w:numId w:val="2"/>
        </w:numPr>
        <w:spacing w:after="60" w:before="60"/>
        <w:ind w:left="720" w:hanging="360"/>
      </w:pPr>
      <w:r>
        <w:rPr>
          <w:rFonts w:ascii="Arial" w:cs="Arial" w:eastAsia="Arial" w:hAnsi="Arial"/>
          <w:sz w:val="22"/>
          <w:szCs w:val="22"/>
        </w:rPr>
        <w:t xml:space="preserve">Integrate UWNR multi-group flux input (MCNP .mesh or .txt format)</w:t>
      </w:r>
    </w:p>
    <w:p>
      <w:pPr>
        <w:pStyle w:val="ListParagraph"/>
        <w:numPr>
          <w:ilvl w:val="0"/>
          <w:numId w:val="2"/>
        </w:numPr>
        <w:spacing w:after="60" w:before="60"/>
        <w:ind w:left="720" w:hanging="360"/>
      </w:pPr>
      <w:r>
        <w:rPr>
          <w:rFonts w:ascii="Arial" w:cs="Arial" w:eastAsia="Arial" w:hAnsi="Arial"/>
          <w:sz w:val="22"/>
          <w:szCs w:val="22"/>
        </w:rPr>
        <w:t xml:space="preserve">Implement Method 1 objective function J₁ with L-BFGS-B optimizer</w:t>
      </w:r>
    </w:p>
    <w:p>
      <w:pPr>
        <w:pStyle w:val="ListParagraph"/>
        <w:numPr>
          <w:ilvl w:val="0"/>
          <w:numId w:val="2"/>
        </w:numPr>
        <w:spacing w:after="60" w:before="60"/>
        <w:ind w:left="720" w:hanging="360"/>
      </w:pPr>
      <w:r>
        <w:rPr>
          <w:rFonts w:ascii="Arial" w:cs="Arial" w:eastAsia="Arial" w:hAnsi="Arial"/>
          <w:sz w:val="22"/>
          <w:szCs w:val="22"/>
        </w:rPr>
        <w:t xml:space="preserve">Add masking score Mᵢⱼ computation over time-resolved isotope inventory</w:t>
      </w:r>
    </w:p>
    <w:p>
      <w:pPr>
        <w:pStyle w:val="ListParagraph"/>
        <w:numPr>
          <w:ilvl w:val="0"/>
          <w:numId w:val="2"/>
        </w:numPr>
        <w:spacing w:after="60" w:before="60"/>
        <w:ind w:left="720" w:hanging="360"/>
      </w:pPr>
      <w:r>
        <w:rPr>
          <w:rFonts w:ascii="Arial" w:cs="Arial" w:eastAsia="Arial" w:hAnsi="Arial"/>
          <w:sz w:val="22"/>
          <w:szCs w:val="22"/>
        </w:rPr>
        <w:t xml:space="preserve">Build interactive heatmap canvas: J₁(tᵢᵣᵣ, tᵈ) at fixed tᶜ, with feasibility overlays</w:t>
      </w:r>
    </w:p>
    <w:p>
      <w:pPr>
        <w:pStyle w:val="ListParagraph"/>
        <w:numPr>
          <w:ilvl w:val="0"/>
          <w:numId w:val="2"/>
        </w:numPr>
        <w:spacing w:after="60" w:before="60"/>
        <w:ind w:left="720" w:hanging="360"/>
      </w:pPr>
      <w:r>
        <w:rPr>
          <w:rFonts w:ascii="Arial" w:cs="Arial" w:eastAsia="Arial" w:hAnsi="Arial"/>
          <w:sz w:val="22"/>
          <w:szCs w:val="22"/>
        </w:rPr>
        <w:t xml:space="preserve">Implement Method 3 endpoint weight profiles (SDR, Q, LTAS) as objective modifier</w:t>
      </w:r>
    </w:p>
    <w:p>
      <w:pPr>
        <w:pStyle w:val="ListParagraph"/>
        <w:numPr>
          <w:ilvl w:val="0"/>
          <w:numId w:val="2"/>
        </w:numPr>
        <w:spacing w:after="60" w:before="60"/>
        <w:ind w:left="720" w:hanging="360"/>
      </w:pPr>
      <w:r>
        <w:rPr>
          <w:rFonts w:ascii="Arial" w:cs="Arial" w:eastAsia="Arial" w:hAnsi="Arial"/>
          <w:sz w:val="22"/>
          <w:szCs w:val="22"/>
        </w:rPr>
        <w:t xml:space="preserve">Add ranked schedule table with per-isotope uncertainty breakdown and masking flags</w:t>
      </w:r>
    </w:p>
    <w:p>
      <w:pPr>
        <w:pStyle w:val="ListParagraph"/>
        <w:numPr>
          <w:ilvl w:val="0"/>
          <w:numId w:val="2"/>
        </w:numPr>
        <w:spacing w:after="60" w:before="60"/>
        <w:ind w:left="720" w:hanging="360"/>
      </w:pPr>
      <w:r>
        <w:rPr>
          <w:rFonts w:ascii="Arial" w:cs="Arial" w:eastAsia="Arial" w:hAnsi="Arial"/>
          <w:sz w:val="22"/>
          <w:szCs w:val="22"/>
        </w:rPr>
        <w:t xml:space="preserve">Expose machine-readable JSON/CSV export of predicted activities with uncertainties</w:t>
      </w:r>
    </w:p>
    <w:p>
      <w:pPr>
        <w:pStyle w:val="Heading2"/>
        <w:spacing w:after="120" w:before="300"/>
      </w:pPr>
      <w:r>
        <w:rPr>
          <w:rFonts w:ascii="Arial" w:cs="Arial" w:eastAsia="Arial" w:hAnsi="Arial"/>
          <w:b/>
          <w:bCs/>
          <w:color w:val="2E75B6"/>
          <w:sz w:val="26"/>
          <w:szCs w:val="26"/>
        </w:rPr>
        <w:t xml:space="preserve">Phase 3.18 — SplitIrradiationOptimizer (Method 2)</w:t>
      </w:r>
    </w:p>
    <w:p>
      <w:pPr>
        <w:pStyle w:val="ListParagraph"/>
        <w:numPr>
          <w:ilvl w:val="0"/>
          <w:numId w:val="2"/>
        </w:numPr>
        <w:spacing w:after="60" w:before="60"/>
        <w:ind w:left="720" w:hanging="360"/>
      </w:pPr>
      <w:r>
        <w:rPr>
          <w:rFonts w:ascii="Arial" w:cs="Arial" w:eastAsia="Arial" w:hAnsi="Arial"/>
          <w:sz w:val="22"/>
          <w:szCs w:val="22"/>
        </w:rPr>
        <w:t xml:space="preserve">Extend IrradiationOptimizer to N-irradiation campaign mode (N = 2 initially)</w:t>
      </w:r>
    </w:p>
    <w:p>
      <w:pPr>
        <w:pStyle w:val="ListParagraph"/>
        <w:numPr>
          <w:ilvl w:val="0"/>
          <w:numId w:val="2"/>
        </w:numPr>
        <w:spacing w:after="60" w:before="60"/>
        <w:ind w:left="720" w:hanging="360"/>
      </w:pPr>
      <w:r>
        <w:rPr>
          <w:rFonts w:ascii="Arial" w:cs="Arial" w:eastAsia="Arial" w:hAnsi="Arial"/>
          <w:sz w:val="22"/>
          <w:szCs w:val="22"/>
        </w:rPr>
        <w:t xml:space="preserve">Implement D'Agostino comparator measurement equation with full uncertainty propagation</w:t>
      </w:r>
    </w:p>
    <w:p>
      <w:pPr>
        <w:pStyle w:val="ListParagraph"/>
        <w:numPr>
          <w:ilvl w:val="0"/>
          <w:numId w:val="2"/>
        </w:numPr>
        <w:spacing w:after="60" w:before="60"/>
        <w:ind w:left="720" w:hanging="360"/>
      </w:pPr>
      <w:r>
        <w:rPr>
          <w:rFonts w:ascii="Arial" w:cs="Arial" w:eastAsia="Arial" w:hAnsi="Arial"/>
          <w:sz w:val="22"/>
          <w:szCs w:val="22"/>
        </w:rPr>
        <w:t xml:space="preserve">Add masking penalty weight λᵀ to objective and expose as user control</w:t>
      </w:r>
    </w:p>
    <w:p>
      <w:pPr>
        <w:pStyle w:val="ListParagraph"/>
        <w:numPr>
          <w:ilvl w:val="0"/>
          <w:numId w:val="2"/>
        </w:numPr>
        <w:spacing w:after="60" w:before="60"/>
        <w:ind w:left="720" w:hanging="360"/>
      </w:pPr>
      <w:r>
        <w:rPr>
          <w:rFonts w:ascii="Arial" w:cs="Arial" w:eastAsia="Arial" w:hAnsi="Arial"/>
          <w:sz w:val="22"/>
          <w:szCs w:val="22"/>
        </w:rPr>
        <w:t xml:space="preserve">Implement Bateman chain visualizer (daughter buildup timeline per target isotope group)</w:t>
      </w:r>
    </w:p>
    <w:p>
      <w:pPr>
        <w:pStyle w:val="ListParagraph"/>
        <w:numPr>
          <w:ilvl w:val="0"/>
          <w:numId w:val="2"/>
        </w:numPr>
        <w:spacing w:after="60" w:before="60"/>
        <w:ind w:left="720" w:hanging="360"/>
      </w:pPr>
      <w:r>
        <w:rPr>
          <w:rFonts w:ascii="Arial" w:cs="Arial" w:eastAsia="Arial" w:hAnsi="Arial"/>
          <w:sz w:val="22"/>
          <w:szCs w:val="22"/>
        </w:rPr>
        <w:t xml:space="preserve">Add RAFM-specific preset campaign structures (short + long split as defaults)</w:t>
      </w:r>
    </w:p>
    <w:p>
      <w:pPr>
        <w:pStyle w:val="Heading2"/>
        <w:spacing w:after="120" w:before="300"/>
      </w:pPr>
      <w:r>
        <w:rPr>
          <w:rFonts w:ascii="Arial" w:cs="Arial" w:eastAsia="Arial" w:hAnsi="Arial"/>
          <w:b/>
          <w:bCs/>
          <w:color w:val="2E75B6"/>
          <w:sz w:val="26"/>
          <w:szCs w:val="26"/>
        </w:rPr>
        <w:t xml:space="preserve">Phase 3.19 — AdaptiveIrradiationDesigner (Method 4 / PD-AID)</w:t>
      </w:r>
    </w:p>
    <w:p>
      <w:pPr>
        <w:pStyle w:val="ListParagraph"/>
        <w:numPr>
          <w:ilvl w:val="0"/>
          <w:numId w:val="2"/>
        </w:numPr>
        <w:spacing w:after="60" w:before="60"/>
        <w:ind w:left="720" w:hanging="360"/>
      </w:pPr>
      <w:r>
        <w:rPr>
          <w:rFonts w:ascii="Arial" w:cs="Arial" w:eastAsia="Arial" w:hAnsi="Arial"/>
          <w:sz w:val="22"/>
          <w:szCs w:val="22"/>
        </w:rPr>
        <w:t xml:space="preserve">Integrate Wübbeler-style full-spectrum MCMC posterior inference (builds on existing Bayesian line matching)</w:t>
      </w:r>
    </w:p>
    <w:p>
      <w:pPr>
        <w:pStyle w:val="ListParagraph"/>
        <w:numPr>
          <w:ilvl w:val="0"/>
          <w:numId w:val="2"/>
        </w:numPr>
        <w:spacing w:after="60" w:before="60"/>
        <w:ind w:left="720" w:hanging="360"/>
      </w:pPr>
      <w:r>
        <w:rPr>
          <w:rFonts w:ascii="Arial" w:cs="Arial" w:eastAsia="Arial" w:hAnsi="Arial"/>
          <w:sz w:val="22"/>
          <w:szCs w:val="22"/>
        </w:rPr>
        <w:t xml:space="preserve">Implement nested MC EIG estimator over second-schedule candidates</w:t>
      </w:r>
    </w:p>
    <w:p>
      <w:pPr>
        <w:pStyle w:val="ListParagraph"/>
        <w:numPr>
          <w:ilvl w:val="0"/>
          <w:numId w:val="2"/>
        </w:numPr>
        <w:spacing w:after="60" w:before="60"/>
        <w:ind w:left="720" w:hanging="360"/>
      </w:pPr>
      <w:r>
        <w:rPr>
          <w:rFonts w:ascii="Arial" w:cs="Arial" w:eastAsia="Arial" w:hAnsi="Arial"/>
          <w:sz w:val="22"/>
          <w:szCs w:val="22"/>
        </w:rPr>
        <w:t xml:space="preserve">Train GP surrogate (GPyTorch) over EIG surface; expose active learning loop</w:t>
      </w:r>
    </w:p>
    <w:p>
      <w:pPr>
        <w:pStyle w:val="ListParagraph"/>
        <w:numPr>
          <w:ilvl w:val="0"/>
          <w:numId w:val="2"/>
        </w:numPr>
        <w:spacing w:after="60" w:before="60"/>
        <w:ind w:left="720" w:hanging="360"/>
      </w:pPr>
      <w:r>
        <w:rPr>
          <w:rFonts w:ascii="Arial" w:cs="Arial" w:eastAsia="Arial" w:hAnsi="Arial"/>
          <w:sz w:val="22"/>
          <w:szCs w:val="22"/>
        </w:rPr>
        <w:t xml:space="preserve">Add Cd-cover as binary design variable; load Cd-covered vs. bare flux spectra</w:t>
      </w:r>
    </w:p>
    <w:p>
      <w:pPr>
        <w:pStyle w:val="ListParagraph"/>
        <w:numPr>
          <w:ilvl w:val="0"/>
          <w:numId w:val="2"/>
        </w:numPr>
        <w:spacing w:after="60" w:before="60"/>
        <w:ind w:left="720" w:hanging="360"/>
      </w:pPr>
      <w:r>
        <w:rPr>
          <w:rFonts w:ascii="Arial" w:cs="Arial" w:eastAsia="Arial" w:hAnsi="Arial"/>
          <w:sz w:val="22"/>
          <w:szCs w:val="22"/>
        </w:rPr>
        <w:t xml:space="preserve">Build hypothesis disambiguation mode: posterior probability over masking hypotheses</w:t>
      </w:r>
    </w:p>
    <w:p>
      <w:pPr>
        <w:pStyle w:val="ListParagraph"/>
        <w:numPr>
          <w:ilvl w:val="0"/>
          <w:numId w:val="2"/>
        </w:numPr>
        <w:spacing w:after="60" w:before="60"/>
        <w:ind w:left="720" w:hanging="360"/>
      </w:pPr>
      <w:r>
        <w:rPr>
          <w:rFonts w:ascii="Arial" w:cs="Arial" w:eastAsia="Arial" w:hAnsi="Arial"/>
          <w:sz w:val="22"/>
          <w:szCs w:val="22"/>
        </w:rPr>
        <w:t xml:space="preserve">Output: combined posterior activity table for all isotopes with full covariance matrix, ready for model-comparison export</w:t>
      </w:r>
    </w:p>
    <w:p>
      <w:pPr>
        <w:pBdr>
          <w:bottom w:val="single" w:color="2E75B6" w:sz="4" w:space="1"/>
        </w:pBdr>
        <w:spacing w:after="200" w:before="200"/>
      </w:pPr>
    </w:p>
    <w:p>
      <w:pPr>
        <w:pStyle w:val="Heading1"/>
        <w:spacing w:after="180" w:before="360"/>
      </w:pPr>
      <w:r>
        <w:rPr>
          <w:rFonts w:ascii="Arial" w:cs="Arial" w:eastAsia="Arial" w:hAnsi="Arial"/>
          <w:b/>
          <w:bCs/>
          <w:color w:val="1F4E79"/>
          <w:sz w:val="32"/>
          <w:szCs w:val="32"/>
        </w:rPr>
        <w:t xml:space="preserve">10. Literature References</w:t>
      </w:r>
    </w:p>
    <w:p>
      <w:pPr>
        <w:spacing w:after="120" w:before="80"/>
      </w:pPr>
      <w:r>
        <w:rPr>
          <w:rFonts w:ascii="Arial" w:cs="Arial" w:eastAsia="Arial" w:hAnsi="Arial"/>
          <w:sz w:val="22"/>
          <w:szCs w:val="22"/>
        </w:rPr>
        <w:t xml:space="preserve">The following sources directly ground the methods described above:</w:t>
      </w:r>
    </w:p>
    <w:p>
      <w:pPr>
        <w:spacing w:after="120" w:before="60"/>
      </w:pPr>
    </w:p>
    <w:p>
      <w:pPr>
        <w:pStyle w:val="ListParagraph"/>
        <w:numPr>
          <w:ilvl w:val="0"/>
          <w:numId w:val="3"/>
        </w:numPr>
        <w:spacing w:after="60" w:before="60"/>
        <w:ind w:left="720" w:hanging="360"/>
      </w:pPr>
      <w:r>
        <w:rPr>
          <w:rFonts w:ascii="Arial" w:cs="Arial" w:eastAsia="Arial" w:hAnsi="Arial"/>
          <w:b/>
          <w:bCs/>
          <w:sz w:val="22"/>
          <w:szCs w:val="22"/>
        </w:rPr>
        <w:t xml:space="preserve">Watterson, J. I. W. (1975). </w:t>
      </w:r>
      <w:r>
        <w:rPr>
          <w:rFonts w:ascii="Arial" w:cs="Arial" w:eastAsia="Arial" w:hAnsi="Arial"/>
          <w:i/>
          <w:iCs/>
          <w:sz w:val="22"/>
          <w:szCs w:val="22"/>
        </w:rPr>
        <w:t xml:space="preserve">Optimisation of irradiation and decay times in nuclear activation analyses.</w:t>
      </w:r>
      <w:r>
        <w:rPr>
          <w:rFonts w:ascii="Arial" w:cs="Arial" w:eastAsia="Arial" w:hAnsi="Arial"/>
          <w:sz w:val="22"/>
          <w:szCs w:val="22"/>
        </w:rPr>
        <w:t xml:space="preserve"> — Baseline physics model for single-peak timing optimization (Method 1).</w:t>
      </w:r>
    </w:p>
    <w:p>
      <w:pPr>
        <w:pStyle w:val="ListParagraph"/>
        <w:numPr>
          <w:ilvl w:val="0"/>
          <w:numId w:val="3"/>
        </w:numPr>
        <w:spacing w:after="60" w:before="60"/>
        <w:ind w:left="720" w:hanging="360"/>
      </w:pPr>
      <w:r>
        <w:rPr>
          <w:rFonts w:ascii="Arial" w:cs="Arial" w:eastAsia="Arial" w:hAnsi="Arial"/>
          <w:b/>
          <w:bCs/>
          <w:sz w:val="22"/>
          <w:szCs w:val="22"/>
        </w:rPr>
        <w:t xml:space="preserve">Burgess, D. D. (1987). </w:t>
      </w:r>
      <w:r>
        <w:rPr>
          <w:rFonts w:ascii="Arial" w:cs="Arial" w:eastAsia="Arial" w:hAnsi="Arial"/>
          <w:i/>
          <w:iCs/>
          <w:sz w:val="22"/>
          <w:szCs w:val="22"/>
        </w:rPr>
        <w:t xml:space="preserve">Optimization of neutron activation analysis by interactive computer graphics.</w:t>
      </w:r>
      <w:r>
        <w:rPr>
          <w:rFonts w:ascii="Arial" w:cs="Arial" w:eastAsia="Arial" w:hAnsi="Arial"/>
          <w:sz w:val="22"/>
          <w:szCs w:val="22"/>
        </w:rPr>
        <w:t xml:space="preserve"> — Response-surface and heatmap design framework (Method 1 visualization).</w:t>
      </w:r>
    </w:p>
    <w:p>
      <w:pPr>
        <w:pStyle w:val="ListParagraph"/>
        <w:numPr>
          <w:ilvl w:val="0"/>
          <w:numId w:val="3"/>
        </w:numPr>
        <w:spacing w:after="60" w:before="60"/>
        <w:ind w:left="720" w:hanging="360"/>
      </w:pPr>
      <w:r>
        <w:rPr>
          <w:rFonts w:ascii="Arial" w:cs="Arial" w:eastAsia="Arial" w:hAnsi="Arial"/>
          <w:b/>
          <w:bCs/>
          <w:sz w:val="22"/>
          <w:szCs w:val="22"/>
        </w:rPr>
        <w:t xml:space="preserve">Isenhour, T. L. (1964). </w:t>
      </w:r>
      <w:r>
        <w:rPr>
          <w:rFonts w:ascii="Arial" w:cs="Arial" w:eastAsia="Arial" w:hAnsi="Arial"/>
          <w:i/>
          <w:iCs/>
          <w:sz w:val="22"/>
          <w:szCs w:val="22"/>
        </w:rPr>
        <w:t xml:space="preserve">A Computer Program to Optimize Times of Irradiation and Decay in Activation Analysis.</w:t>
      </w:r>
      <w:r>
        <w:rPr>
          <w:rFonts w:ascii="Arial" w:cs="Arial" w:eastAsia="Arial" w:hAnsi="Arial"/>
          <w:sz w:val="22"/>
          <w:szCs w:val="22"/>
        </w:rPr>
        <w:t xml:space="preserve"> — Historical foundation for computational timing optimization.</w:t>
      </w:r>
    </w:p>
    <w:p>
      <w:pPr>
        <w:pStyle w:val="ListParagraph"/>
        <w:numPr>
          <w:ilvl w:val="0"/>
          <w:numId w:val="3"/>
        </w:numPr>
        <w:spacing w:after="60" w:before="60"/>
        <w:ind w:left="720" w:hanging="360"/>
      </w:pPr>
      <w:r>
        <w:rPr>
          <w:rFonts w:ascii="Arial" w:cs="Arial" w:eastAsia="Arial" w:hAnsi="Arial"/>
          <w:b/>
          <w:bCs/>
          <w:sz w:val="22"/>
          <w:szCs w:val="22"/>
        </w:rPr>
        <w:t xml:space="preserve">Basenko, V. K. et al. (2005, 2007). </w:t>
      </w:r>
      <w:r>
        <w:rPr>
          <w:rFonts w:ascii="Arial" w:cs="Arial" w:eastAsia="Arial" w:hAnsi="Arial"/>
          <w:i/>
          <w:iCs/>
          <w:sz w:val="22"/>
          <w:szCs w:val="22"/>
        </w:rPr>
        <w:t xml:space="preserve">NAAPRO: A code for predicting results and performance of neutron activation analysis.</w:t>
      </w:r>
      <w:r>
        <w:rPr>
          <w:rFonts w:ascii="Arial" w:cs="Arial" w:eastAsia="Arial" w:hAnsi="Arial"/>
          <w:sz w:val="22"/>
          <w:szCs w:val="22"/>
        </w:rPr>
        <w:t xml:space="preserve"> — Predictive NAA design mode precedent (FluxForge design philosophy).</w:t>
      </w:r>
    </w:p>
    <w:p>
      <w:pPr>
        <w:pStyle w:val="ListParagraph"/>
        <w:numPr>
          <w:ilvl w:val="0"/>
          <w:numId w:val="3"/>
        </w:numPr>
        <w:spacing w:after="60" w:before="60"/>
        <w:ind w:left="720" w:hanging="360"/>
      </w:pPr>
      <w:r>
        <w:rPr>
          <w:rFonts w:ascii="Arial" w:cs="Arial" w:eastAsia="Arial" w:hAnsi="Arial"/>
          <w:b/>
          <w:bCs/>
          <w:sz w:val="22"/>
          <w:szCs w:val="22"/>
        </w:rPr>
        <w:t xml:space="preserve">D’Agostino, G. and Di Luzio, M. (2024). </w:t>
      </w:r>
      <w:r>
        <w:rPr>
          <w:rFonts w:ascii="Arial" w:cs="Arial" w:eastAsia="Arial" w:hAnsi="Arial"/>
          <w:i/>
          <w:iCs/>
          <w:sz w:val="22"/>
          <w:szCs w:val="22"/>
        </w:rPr>
        <w:t xml:space="preserve">Development and application of a comprehensive measurement equation for the direct comparator standardization method of INAA.</w:t>
      </w:r>
      <w:r>
        <w:rPr>
          <w:rFonts w:ascii="Arial" w:cs="Arial" w:eastAsia="Arial" w:hAnsi="Arial"/>
          <w:sz w:val="22"/>
          <w:szCs w:val="22"/>
        </w:rPr>
        <w:t xml:space="preserve"> — Measurement equation and uncertainty target for Method 2.</w:t>
      </w:r>
    </w:p>
    <w:p>
      <w:pPr>
        <w:pStyle w:val="ListParagraph"/>
        <w:numPr>
          <w:ilvl w:val="0"/>
          <w:numId w:val="3"/>
        </w:numPr>
        <w:spacing w:after="60" w:before="60"/>
        <w:ind w:left="720" w:hanging="360"/>
      </w:pPr>
      <w:r>
        <w:rPr>
          <w:rFonts w:ascii="Arial" w:cs="Arial" w:eastAsia="Arial" w:hAnsi="Arial"/>
          <w:b/>
          <w:bCs/>
          <w:sz w:val="22"/>
          <w:szCs w:val="22"/>
        </w:rPr>
        <w:t xml:space="preserve">Nisti, M. B. et al. (2020). </w:t>
      </w:r>
      <w:r>
        <w:rPr>
          <w:rFonts w:ascii="Arial" w:cs="Arial" w:eastAsia="Arial" w:hAnsi="Arial"/>
          <w:i/>
          <w:iCs/>
          <w:sz w:val="22"/>
          <w:szCs w:val="22"/>
        </w:rPr>
        <w:t xml:space="preserve">Optimization of the gamma-ray spectrometry counting time based on uncertainties of radionuclides concentration in samples.</w:t>
      </w:r>
      <w:r>
        <w:rPr>
          <w:rFonts w:ascii="Arial" w:cs="Arial" w:eastAsia="Arial" w:hAnsi="Arial"/>
          <w:sz w:val="22"/>
          <w:szCs w:val="22"/>
        </w:rPr>
        <w:t xml:space="preserve"> — Count-time optimization (Methods 1, 2).</w:t>
      </w:r>
    </w:p>
    <w:p>
      <w:pPr>
        <w:pStyle w:val="ListParagraph"/>
        <w:numPr>
          <w:ilvl w:val="0"/>
          <w:numId w:val="3"/>
        </w:numPr>
        <w:spacing w:after="60" w:before="60"/>
        <w:ind w:left="720" w:hanging="360"/>
      </w:pPr>
      <w:r>
        <w:rPr>
          <w:rFonts w:ascii="Arial" w:cs="Arial" w:eastAsia="Arial" w:hAnsi="Arial"/>
          <w:b/>
          <w:bCs/>
          <w:sz w:val="22"/>
          <w:szCs w:val="22"/>
        </w:rPr>
        <w:t xml:space="preserve">Guembou Shouop, C. J. et al. (2017). </w:t>
      </w:r>
      <w:r>
        <w:rPr>
          <w:rFonts w:ascii="Arial" w:cs="Arial" w:eastAsia="Arial" w:hAnsi="Arial"/>
          <w:i/>
          <w:iCs/>
          <w:sz w:val="22"/>
          <w:szCs w:val="22"/>
        </w:rPr>
        <w:t xml:space="preserve">Optimal measurement counting time and statistics in gamma spectrometry analysis.</w:t>
      </w:r>
      <w:r>
        <w:rPr>
          <w:rFonts w:ascii="Arial" w:cs="Arial" w:eastAsia="Arial" w:hAnsi="Arial"/>
          <w:sz w:val="22"/>
          <w:szCs w:val="22"/>
        </w:rPr>
        <w:t xml:space="preserve"> — Count-time balancing (Methods 1, 2).</w:t>
      </w:r>
    </w:p>
    <w:p>
      <w:pPr>
        <w:pStyle w:val="ListParagraph"/>
        <w:numPr>
          <w:ilvl w:val="0"/>
          <w:numId w:val="3"/>
        </w:numPr>
        <w:spacing w:after="60" w:before="60"/>
        <w:ind w:left="720" w:hanging="360"/>
      </w:pPr>
      <w:r>
        <w:rPr>
          <w:rFonts w:ascii="Arial" w:cs="Arial" w:eastAsia="Arial" w:hAnsi="Arial"/>
          <w:b/>
          <w:bCs/>
          <w:sz w:val="22"/>
          <w:szCs w:val="22"/>
        </w:rPr>
        <w:t xml:space="preserve">Blideanu, V. et al. (2025). </w:t>
      </w:r>
      <w:r>
        <w:rPr>
          <w:rFonts w:ascii="Arial" w:cs="Arial" w:eastAsia="Arial" w:hAnsi="Arial"/>
          <w:i/>
          <w:iCs/>
          <w:sz w:val="22"/>
          <w:szCs w:val="22"/>
        </w:rPr>
        <w:t xml:space="preserve">New measurements on neutron-induced activation towards an innovative approach for controlled interferences in NAA.</w:t>
      </w:r>
      <w:r>
        <w:rPr>
          <w:rFonts w:ascii="Arial" w:cs="Arial" w:eastAsia="Arial" w:hAnsi="Arial"/>
          <w:sz w:val="22"/>
          <w:szCs w:val="22"/>
        </w:rPr>
        <w:t xml:space="preserve"> — Masking score design and controlled interference framework (Methods 1–4).</w:t>
      </w:r>
    </w:p>
    <w:p>
      <w:pPr>
        <w:pStyle w:val="ListParagraph"/>
        <w:numPr>
          <w:ilvl w:val="0"/>
          <w:numId w:val="3"/>
        </w:numPr>
        <w:spacing w:after="60" w:before="60"/>
        <w:ind w:left="720" w:hanging="360"/>
      </w:pPr>
      <w:r>
        <w:rPr>
          <w:rFonts w:ascii="Arial" w:cs="Arial" w:eastAsia="Arial" w:hAnsi="Arial"/>
          <w:b/>
          <w:bCs/>
          <w:sz w:val="22"/>
          <w:szCs w:val="22"/>
        </w:rPr>
        <w:t xml:space="preserve">Lani, C. A. et al. (2022). </w:t>
      </w:r>
      <w:r>
        <w:rPr>
          <w:rFonts w:ascii="Arial" w:cs="Arial" w:eastAsia="Arial" w:hAnsi="Arial"/>
          <w:i/>
          <w:iCs/>
          <w:sz w:val="22"/>
          <w:szCs w:val="22"/>
        </w:rPr>
        <w:t xml:space="preserve">Optimization Simulations for a Gamma-Ray Calibration Standard for a Cyclic NAA Pneumatic System at Penn State.</w:t>
      </w:r>
      <w:r>
        <w:rPr>
          <w:rFonts w:ascii="Arial" w:cs="Arial" w:eastAsia="Arial" w:hAnsi="Arial"/>
          <w:sz w:val="22"/>
          <w:szCs w:val="22"/>
        </w:rPr>
        <w:t xml:space="preserve"> — Simulation-driven CNAA design example (Method 2).</w:t>
      </w:r>
    </w:p>
    <w:p>
      <w:pPr>
        <w:pStyle w:val="ListParagraph"/>
        <w:numPr>
          <w:ilvl w:val="0"/>
          <w:numId w:val="3"/>
        </w:numPr>
        <w:spacing w:after="60" w:before="60"/>
        <w:ind w:left="720" w:hanging="360"/>
      </w:pPr>
      <w:r>
        <w:rPr>
          <w:rFonts w:ascii="Arial" w:cs="Arial" w:eastAsia="Arial" w:hAnsi="Arial"/>
          <w:b/>
          <w:bCs/>
          <w:sz w:val="22"/>
          <w:szCs w:val="22"/>
        </w:rPr>
        <w:t xml:space="preserve">Wübbeler, G. et al. (2025). </w:t>
      </w:r>
      <w:r>
        <w:rPr>
          <w:rFonts w:ascii="Arial" w:cs="Arial" w:eastAsia="Arial" w:hAnsi="Arial"/>
          <w:i/>
          <w:iCs/>
          <w:sz w:val="22"/>
          <w:szCs w:val="22"/>
        </w:rPr>
        <w:t xml:space="preserve">Bayesian full-spectrum analysis of high-resolution gamma-ray spectra with MCMC uncertainty quantification.</w:t>
      </w:r>
      <w:r>
        <w:rPr>
          <w:rFonts w:ascii="Arial" w:cs="Arial" w:eastAsia="Arial" w:hAnsi="Arial"/>
          <w:sz w:val="22"/>
          <w:szCs w:val="22"/>
        </w:rPr>
        <w:t xml:space="preserve"> — Full-spectrum posterior inference engine (Methods 2, 4 / PD-AID).</w:t>
      </w:r>
    </w:p>
    <w:p>
      <w:pPr>
        <w:pStyle w:val="ListParagraph"/>
        <w:numPr>
          <w:ilvl w:val="0"/>
          <w:numId w:val="3"/>
        </w:numPr>
        <w:spacing w:after="60" w:before="60"/>
        <w:ind w:left="720" w:hanging="360"/>
      </w:pPr>
      <w:r>
        <w:rPr>
          <w:rFonts w:ascii="Arial" w:cs="Arial" w:eastAsia="Arial" w:hAnsi="Arial"/>
          <w:b/>
          <w:bCs/>
          <w:sz w:val="22"/>
          <w:szCs w:val="22"/>
        </w:rPr>
        <w:t xml:space="preserve">Tan, H. et al. (2024). </w:t>
      </w:r>
      <w:r>
        <w:rPr>
          <w:rFonts w:ascii="Arial" w:cs="Arial" w:eastAsia="Arial" w:hAnsi="Arial"/>
          <w:i/>
          <w:iCs/>
          <w:sz w:val="22"/>
          <w:szCs w:val="22"/>
        </w:rPr>
        <w:t xml:space="preserve">Bayesian peak identification method for low count rate gamma spectrum.</w:t>
      </w:r>
      <w:r>
        <w:rPr>
          <w:rFonts w:ascii="Arial" w:cs="Arial" w:eastAsia="Arial" w:hAnsi="Arial"/>
          <w:sz w:val="22"/>
          <w:szCs w:val="22"/>
        </w:rPr>
        <w:t xml:space="preserve"> — Weak-peak and hypothesis-discrimination framework (Method 4).</w:t>
      </w:r>
    </w:p>
    <w:p>
      <w:pPr>
        <w:pStyle w:val="ListParagraph"/>
        <w:numPr>
          <w:ilvl w:val="0"/>
          <w:numId w:val="3"/>
        </w:numPr>
        <w:spacing w:after="60" w:before="60"/>
        <w:ind w:left="720" w:hanging="360"/>
      </w:pPr>
      <w:r>
        <w:rPr>
          <w:rFonts w:ascii="Arial" w:cs="Arial" w:eastAsia="Arial" w:hAnsi="Arial"/>
          <w:b/>
          <w:bCs/>
          <w:sz w:val="22"/>
          <w:szCs w:val="22"/>
        </w:rPr>
        <w:t xml:space="preserve">Xu, Z. et al. (2020). </w:t>
      </w:r>
      <w:r>
        <w:rPr>
          <w:rFonts w:ascii="Arial" w:cs="Arial" w:eastAsia="Arial" w:hAnsi="Arial"/>
          <w:i/>
          <w:iCs/>
          <w:sz w:val="22"/>
          <w:szCs w:val="22"/>
        </w:rPr>
        <w:t xml:space="preserve">Gaussian Process Based Expected Information Gain Computation for Bayesian Optimal Design.</w:t>
      </w:r>
      <w:r>
        <w:rPr>
          <w:rFonts w:ascii="Arial" w:cs="Arial" w:eastAsia="Arial" w:hAnsi="Arial"/>
          <w:sz w:val="22"/>
          <w:szCs w:val="22"/>
        </w:rPr>
        <w:t xml:space="preserve"> — GP surrogate EIG methodology (Method 4 / PD-AID core algorithm).</w:t>
      </w:r>
    </w:p>
    <w:p>
      <w:pPr>
        <w:pStyle w:val="ListParagraph"/>
        <w:numPr>
          <w:ilvl w:val="0"/>
          <w:numId w:val="3"/>
        </w:numPr>
        <w:spacing w:after="60" w:before="60"/>
        <w:ind w:left="720" w:hanging="360"/>
      </w:pPr>
      <w:r>
        <w:rPr>
          <w:rFonts w:ascii="Arial" w:cs="Arial" w:eastAsia="Arial" w:hAnsi="Arial"/>
          <w:b/>
          <w:bCs/>
          <w:sz w:val="22"/>
          <w:szCs w:val="22"/>
        </w:rPr>
        <w:t xml:space="preserve">Palermo, I., Villari, R., and Ibarra, Á. (2018). </w:t>
      </w:r>
      <w:r>
        <w:rPr>
          <w:rFonts w:ascii="Arial" w:cs="Arial" w:eastAsia="Arial" w:hAnsi="Arial"/>
          <w:i/>
          <w:iCs/>
          <w:sz w:val="22"/>
          <w:szCs w:val="22"/>
        </w:rPr>
        <w:t xml:space="preserve">Shutdown dose rate assessment with the Advanced D1S method for the European DCLL DEMO.</w:t>
      </w:r>
      <w:r>
        <w:rPr>
          <w:rFonts w:ascii="Arial" w:cs="Arial" w:eastAsia="Arial" w:hAnsi="Arial"/>
          <w:sz w:val="22"/>
          <w:szCs w:val="22"/>
        </w:rPr>
        <w:t xml:space="preserve"> — Shutdown dose endpoint weighting (Method 3).</w:t>
      </w:r>
    </w:p>
    <w:p>
      <w:pPr>
        <w:pStyle w:val="ListParagraph"/>
        <w:numPr>
          <w:ilvl w:val="0"/>
          <w:numId w:val="3"/>
        </w:numPr>
        <w:spacing w:after="60" w:before="60"/>
        <w:ind w:left="720" w:hanging="360"/>
      </w:pPr>
      <w:r>
        <w:rPr>
          <w:rFonts w:ascii="Arial" w:cs="Arial" w:eastAsia="Arial" w:hAnsi="Arial"/>
          <w:b/>
          <w:bCs/>
          <w:sz w:val="22"/>
          <w:szCs w:val="22"/>
        </w:rPr>
        <w:t xml:space="preserve">Bae, J. W. and Robert, Y. (2025). </w:t>
      </w:r>
      <w:r>
        <w:rPr>
          <w:rFonts w:ascii="Arial" w:cs="Arial" w:eastAsia="Arial" w:hAnsi="Arial"/>
          <w:i/>
          <w:iCs/>
          <w:sz w:val="22"/>
          <w:szCs w:val="22"/>
        </w:rPr>
        <w:t xml:space="preserve">Activation Calculation Comparison for FISPACT-II, ORIGEN, and OpenMC.</w:t>
      </w:r>
      <w:r>
        <w:rPr>
          <w:rFonts w:ascii="Arial" w:cs="Arial" w:eastAsia="Arial" w:hAnsi="Arial"/>
          <w:sz w:val="22"/>
          <w:szCs w:val="22"/>
        </w:rPr>
        <w:t xml:space="preserve"> — Activation code benchmarking and isotopic inventory validation (Methods 3, 4).</w:t>
      </w:r>
    </w:p>
    <w:p>
      <w:pPr>
        <w:pStyle w:val="ListParagraph"/>
        <w:numPr>
          <w:ilvl w:val="0"/>
          <w:numId w:val="3"/>
        </w:numPr>
        <w:spacing w:after="60" w:before="60"/>
        <w:ind w:left="720" w:hanging="360"/>
      </w:pPr>
      <w:r>
        <w:rPr>
          <w:rFonts w:ascii="Arial" w:cs="Arial" w:eastAsia="Arial" w:hAnsi="Arial"/>
          <w:b/>
          <w:bCs/>
          <w:sz w:val="22"/>
          <w:szCs w:val="22"/>
        </w:rPr>
        <w:t xml:space="preserve">Kim, J. H. et al. (2021). </w:t>
      </w:r>
      <w:r>
        <w:rPr>
          <w:rFonts w:ascii="Arial" w:cs="Arial" w:eastAsia="Arial" w:hAnsi="Arial"/>
          <w:i/>
          <w:iCs/>
          <w:sz w:val="22"/>
          <w:szCs w:val="22"/>
        </w:rPr>
        <w:t xml:space="preserve">A shutdown dose rates analysis of the Korean fusion demonstration reactor using MCNP5 mesh-based R2S approach.</w:t>
      </w:r>
      <w:r>
        <w:rPr>
          <w:rFonts w:ascii="Arial" w:cs="Arial" w:eastAsia="Arial" w:hAnsi="Arial"/>
          <w:sz w:val="22"/>
          <w:szCs w:val="22"/>
        </w:rPr>
        <w:t xml:space="preserve"> — Shutdown dose importance ranking for fusion-relevant materials (Method 3).</w:t>
      </w:r>
    </w:p>
    <w:p>
      <w:pPr>
        <w:spacing w:after="120" w:before="200"/>
      </w:pPr>
    </w:p>
    <w:p>
      <w:pPr>
        <w:spacing w:after="120" w:before="80"/>
      </w:pPr>
      <w:r>
        <w:rPr>
          <w:rFonts w:ascii="Arial" w:cs="Arial" w:eastAsia="Arial" w:hAnsi="Arial"/>
          <w:b/>
          <w:bCs/>
          <w:sz w:val="22"/>
          <w:szCs w:val="22"/>
        </w:rPr>
        <w:t xml:space="preserve">Document version: </w:t>
      </w:r>
      <w:r>
        <w:rPr>
          <w:rFonts w:ascii="Arial" w:cs="Arial" w:eastAsia="Arial" w:hAnsi="Arial"/>
          <w:sz w:val="22"/>
          <w:szCs w:val="22"/>
        </w:rPr>
        <w:t xml:space="preserve">1.0 — FluxForge RAFM UWNR/INL LDRD Irradiation Optimization Writeup</w:t>
      </w:r>
    </w:p>
    <w:p>
      <w:pPr>
        <w:spacing w:after="120" w:before="80"/>
      </w:pPr>
      <w:r>
        <w:rPr>
          <w:rFonts w:ascii="Arial" w:cs="Arial" w:eastAsia="Arial" w:hAnsi="Arial"/>
          <w:b/>
          <w:bCs/>
          <w:sz w:val="22"/>
          <w:szCs w:val="22"/>
        </w:rPr>
        <w:t xml:space="preserve">Scope: </w:t>
      </w:r>
      <w:r>
        <w:rPr>
          <w:rFonts w:ascii="Arial" w:cs="Arial" w:eastAsia="Arial" w:hAnsi="Arial"/>
          <w:sz w:val="22"/>
          <w:szCs w:val="22"/>
        </w:rPr>
        <w:t xml:space="preserve">Methods 1–4 for implementation in FluxForge IrradiationOptimizer and AdaptiveIrradiationDesigner modules</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FluxForge | RAFM Irradiation Optimization | UWNR / INL LDRD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2026-04-06T17:20:13.985Z</dcterms:created>
  <dcterms:modified xsi:type="dcterms:W3CDTF">2026-04-06T17:20:13.986Z</dcterms:modified>
</cp:coreProperties>
</file>

<file path=docProps/custom.xml><?xml version="1.0" encoding="utf-8"?>
<Properties xmlns="http://schemas.openxmlformats.org/officeDocument/2006/custom-properties" xmlns:vt="http://schemas.openxmlformats.org/officeDocument/2006/docPropsVTypes"/>
</file>