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spacing w:after="600"/>
      </w:pPr>
      <w:r>
        <w:rPr>
          <w:rFonts w:hint="eastAsia" w:ascii="Calibri" w:hAnsi="Calibri" w:eastAsia="微软雅黑"/>
          <w:b w:val="1"/>
          <w:color w:val="5B9BD5"/>
          <w:sz w:val="20"/>
        </w:rPr>
        <w:t>供应链质量与经营决策</w:t>
      </w:r>
    </w:p>
    <w:p>
      <w:pPr>
        <w:pStyle w:val="000048"/>
        <w:spacing w:before="1040" w:after="240"/>
      </w:pPr>
      <w:r>
        <w:rPr>
          <w:rFonts w:hint="eastAsia" w:ascii="Calibri" w:hAnsi="Calibri" w:eastAsia="微软雅黑"/>
          <w:b w:val="1"/>
          <w:color w:val="1F4E78"/>
          <w:sz w:val="50"/>
        </w:rPr>
        <w:t>猕猴桃采后GA₃处理验证</w:t>
      </w:r>
      <w:r>
        <w:rPr>
          <w:rFonts w:ascii="Calibri" w:hAnsi="Calibri" w:eastAsia="微软雅黑"/>
          <w:b w:val="1"/>
          <w:color w:val="1F4E78"/>
          <w:sz w:val="50"/>
        </w:rPr>
        <w:br w:type="textWrapping"/>
      </w:r>
      <w:r>
        <w:rPr>
          <w:rFonts w:hint="eastAsia" w:ascii="Calibri" w:hAnsi="Calibri" w:eastAsia="微软雅黑"/>
          <w:b w:val="1"/>
          <w:color w:val="1F4E78"/>
          <w:sz w:val="50"/>
        </w:rPr>
        <w:t>及供应链应用评估报告</w:t>
      </w:r>
    </w:p>
    <w:p>
      <w:pPr>
        <w:spacing w:after="560"/>
      </w:pPr>
    </w:p>
    <w:tbl>
      <w:tblPr>
        <w:tblStyle w:val="0000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rPr/>
        <w:tc>
          <w:tcPr>
            <w:tcW w:w="1944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决策状态</w:t>
            </w:r>
          </w:p>
        </w:tc>
        <w:tc>
          <w:tcPr>
            <w:tcW w:w="813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BF9000"/>
                <w:sz w:val="20"/>
              </w:rPr>
              <w:t>暂缓商业应用；进入受控验证</w:t>
            </w:r>
          </w:p>
        </w:tc>
      </w:tr>
      <w:tr>
        <w:trPr/>
        <w:tc>
          <w:tcPr>
            <w:tcW w:w="1944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评估范围</w:t>
            </w:r>
          </w:p>
        </w:tc>
        <w:tc>
          <w:tcPr>
            <w:tcW w:w="813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20"/>
              </w:rPr>
              <w:t>采后小试、供应链经营样例、科研与监管证据</w:t>
            </w:r>
          </w:p>
        </w:tc>
      </w:tr>
      <w:tr>
        <w:trPr/>
        <w:tc>
          <w:tcPr>
            <w:tcW w:w="1944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报告日期</w:t>
            </w:r>
          </w:p>
        </w:tc>
        <w:tc>
          <w:tcPr>
            <w:tcW w:w="813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20"/>
              </w:rPr>
              <w:t>2026年8月</w:t>
            </w:r>
          </w:p>
        </w:tc>
      </w:tr>
    </w:tbl>
    <w:p>
      <w:pPr>
        <w:spacing w:before="1400"/>
      </w:pPr>
      <w:r>
        <w:rPr>
          <w:rFonts w:hint="eastAsia" w:ascii="Calibri" w:hAnsi="Calibri" w:eastAsia="微软雅黑"/>
          <w:color w:val="666666"/>
          <w:sz w:val="18"/>
        </w:rPr>
        <w:t>本报告用于验证路径与经营决策，不构成具体农药产品的商业施用或登记合规结论。</w:t>
      </w:r>
    </w:p>
    <w:p>
      <w:pPr/>
      <w:r>
        <w:br w:type="page"/>
      </w:r>
    </w:p>
    <w:p>
      <w:pPr>
        <w:pStyle w:val="000021"/>
      </w:pPr>
      <w:r>
        <w:rPr>
          <w:rFonts w:hint="eastAsia"/>
        </w:rPr>
        <w:t>1 管理结论</w:t>
      </w:r>
    </w:p>
    <w:tbl>
      <w:tblPr>
        <w:tblStyle w:val="0000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208"/>
      </w:tblGrid>
      <w:tr>
        <w:trPr>
          <w:jc w:val="center"/>
        </w:trPr>
        <w:tc>
          <w:tcPr>
            <w:tcW w:w="468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决策建议</w:t>
            </w:r>
          </w:p>
        </w:tc>
        <w:tc>
          <w:tcPr>
            <w:tcW w:w="46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暂缓将GA₃处理纳入常规商业流程；在补齐试验身份、合法使用依据和独立批次复现后，以低起点进入受控冷链验证。现有数据支持“值得验证”，不支持“可以直接应用”。</w:t>
            </w:r>
          </w:p>
          <w:p>
            <w:pPr/>
            <w:r>
              <w:t xml:space="preserve">暂缓商业应用的直接原因有三项：第一，试验身份未闭环，现有材料不足以独立核验品种、处理浓度、温湿度、重复独立性和完整试验方案；第二，合规身份未闭环，缺少具体产品登记证、核准标签、残留控制和追溯方案；第三，经济性未闭环，三种情景净价值仍为负（-95,455.24元、-85,053.88元、-72,628.49元），尚不能用经营收益支撑全量推广。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1.1 结论依据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cantSplit w:val="1"/>
          <w:tblHeader w:val="1"/>
          <w:jc w:val="center"/>
        </w:trPr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判断维度</w:t>
            </w:r>
          </w:p>
        </w:tc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当前状态</w:t>
            </w:r>
          </w:p>
        </w:tc>
        <w:tc>
          <w:tcPr>
            <w:tcW w:w="640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管理含义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实验信号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支持继续验证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六项指标在贮藏期呈一致的成熟延缓方向；硬度、淀粉和总酸保持，乙烯与可溶性固形物上升受到抑制或推迟。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证据强度</w:t>
            </w:r>
          </w:p>
        </w:tc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不足以定案</w:t>
            </w:r>
          </w:p>
        </w:tc>
        <w:tc>
          <w:tcPr>
            <w:tcW w:w="640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每个时间点每组仅3条记录；重复独立性、品种、处理浓度和环境等原始设计要素未形成可核验的主记录。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经营价值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当前不闭环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在现有可量化口径下，保守、中性和乐观情景的净价值均为负；收益端尚未通过真实试点验证。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合规条件</w:t>
            </w:r>
          </w:p>
        </w:tc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尚未闭环</w:t>
            </w:r>
          </w:p>
        </w:tc>
        <w:tc>
          <w:tcPr>
            <w:tcW w:w="640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现有材料没有具体产品登记证、核准标签、适用范围和残留控制方案，尚不具备商品化施用条件</w:t>
            </w:r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。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1.2 关键经营量级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cantSplit w:val="1"/>
          <w:tblHeader w:val="1"/>
          <w:jc w:val="center"/>
        </w:trPr>
        <w:tc>
          <w:tcPr>
            <w:tcW w:w="216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9"/>
              </w:rPr>
              <w:t>指标</w:t>
            </w:r>
          </w:p>
        </w:tc>
        <w:tc>
          <w:tcPr>
            <w:tcW w:w="288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9"/>
              </w:rPr>
              <w:t>数值</w:t>
            </w:r>
          </w:p>
        </w:tc>
        <w:tc>
          <w:tcPr>
            <w:tcW w:w="496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9"/>
              </w:rPr>
              <w:t>口径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采购规模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9"/>
              </w:rPr>
              <w:t>470,800 kg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28个采购批次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成熟相关问题量</w:t>
            </w:r>
          </w:p>
        </w:tc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9"/>
              </w:rPr>
              <w:t>8,790.0 kg</w:t>
            </w:r>
          </w:p>
        </w:tc>
        <w:tc>
          <w:tcPr>
            <w:tcW w:w="496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估计损失 44,598.21 元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折价销售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9"/>
              </w:rPr>
              <w:t>31,665.3 kg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折价占比 17.6%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退货</w:t>
            </w:r>
          </w:p>
        </w:tc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9"/>
              </w:rPr>
              <w:t>1,695.2 kg</w:t>
            </w:r>
          </w:p>
        </w:tc>
        <w:tc>
          <w:tcPr>
            <w:tcW w:w="496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退货率 0.94%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1.3 近期行动</w:t>
      </w:r>
    </w:p>
    <w:p>
      <w:pPr>
        <w:pStyle w:val="000015"/>
        <w:ind w:left="374" w:hanging="259"/>
      </w:pPr>
      <w:r>
        <w:rPr>
          <w:rFonts w:hint="eastAsia"/>
        </w:rPr>
        <w:t>先完成试验身份核验：锁定品种、采收成熟度、GA₃产品与浓度、处理方法、温湿度、取样方式、重复独立性和原始记录版本。</w:t>
      </w:r>
    </w:p>
    <w:p>
      <w:pPr>
        <w:pStyle w:val="000015"/>
        <w:ind w:left="374" w:hanging="259"/>
      </w:pPr>
      <w:r>
        <w:rPr>
          <w:rFonts w:hint="eastAsia"/>
        </w:rPr>
        <w:t>按阶段门设计独立批次复现；主要终点、最小有意义差异和统计方法在试验前确定。</w:t>
      </w:r>
    </w:p>
    <w:p>
      <w:pPr>
        <w:pStyle w:val="000015"/>
        <w:ind w:left="374" w:hanging="259"/>
      </w:pPr>
      <w:r>
        <w:rPr>
          <w:rFonts w:hint="eastAsia"/>
        </w:rPr>
        <w:t>法规与质量部门核验具体产品登记证、核准标签、使用范围、残留与追溯要求；未闭环前仅限受控研发。</w:t>
      </w:r>
    </w:p>
    <w:p>
      <w:pPr>
        <w:pStyle w:val="000015"/>
        <w:ind w:left="374" w:hanging="259"/>
      </w:pPr>
      <w:r>
        <w:rPr>
          <w:rFonts w:hint="eastAsia"/>
        </w:rPr>
        <w:t>冷链试点同步记录可售窗口、报损折价、退货客诉、处理成本和质量副作用，按实际值复算净价值。</w:t>
      </w:r>
    </w:p>
    <w:p>
      <w:pPr/>
      <w:r>
        <w:br w:type="page"/>
      </w:r>
    </w:p>
    <w:p>
      <w:pPr>
        <w:pStyle w:val="000021"/>
      </w:pPr>
      <w:r>
        <w:rPr>
          <w:rFonts w:hint="eastAsia"/>
        </w:rPr>
        <w:t>2 评估范围与证据口径</w:t>
      </w:r>
    </w:p>
    <w:p>
      <w:pPr/>
      <w:r>
        <w:rPr>
          <w:rFonts w:hint="eastAsia"/>
        </w:rPr>
        <w:t>本评估把材料分为试验测定、表型图像、供应链经营记录、跨期科研证据和法规标准五类。结论优先采用可追溯的原始工作簿；说明性材料用于界定口径，原始试验设计或经营事实以原始记录为准</w:t>
      </w:r>
      <w:r>
        <w:rPr>
          <w:rFonts w:hint="eastAsia"/>
        </w:rPr>
        <w:t>。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cantSplit w:val="1"/>
          <w:tblHeader w:val="1"/>
          <w:jc w:val="center"/>
        </w:trPr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资料组</w:t>
            </w:r>
          </w:p>
        </w:tc>
        <w:tc>
          <w:tcPr>
            <w:tcW w:w="288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纳入内容</w:t>
            </w:r>
          </w:p>
        </w:tc>
        <w:tc>
          <w:tcPr>
            <w:tcW w:w="288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用途</w:t>
            </w:r>
          </w:p>
        </w:tc>
        <w:tc>
          <w:tcPr>
            <w:tcW w:w="288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关键限制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试验资料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六项指标工作簿、表型图、证据更新记录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描述GA₃与CK随时间的差异轨迹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缺少独立的试验方案与完整元数据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企业经营数据</w:t>
            </w:r>
          </w:p>
        </w:tc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采购、库存、报损、销售、冷链、质检、成本、渠道</w:t>
            </w:r>
          </w:p>
        </w:tc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建立问题规模、成本和收益基线</w:t>
            </w:r>
          </w:p>
        </w:tc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不同台账覆盖期与批次范围不完全一致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公开证据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科研论文、行业/地方标准、国内外监管资料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支持机制合理性、外推边界和合规判断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外部研究仅供参考，需以本项目复现结果为准；境外规则不直接适用于中国准入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测算底稿</w:t>
            </w:r>
          </w:p>
        </w:tc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原始数据、统计、对账、场景、证据与阶段门</w:t>
            </w:r>
          </w:p>
        </w:tc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形成可复算的决策证据链</w:t>
            </w:r>
          </w:p>
        </w:tc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黄色假设项需由试点实测替换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2.1 证据优先级</w:t>
      </w:r>
    </w:p>
    <w:p>
      <w:pPr>
        <w:pStyle w:val="000015"/>
        <w:ind w:left="374" w:hanging="259"/>
      </w:pPr>
      <w:r>
        <w:rPr>
          <w:rFonts w:hint="eastAsia"/>
        </w:rPr>
        <w:t>原始测定和经营工作簿：用于数量、单位、时间、批次和金额计算。</w:t>
      </w:r>
    </w:p>
    <w:p>
      <w:pPr>
        <w:pStyle w:val="000015"/>
        <w:ind w:left="374" w:hanging="259"/>
      </w:pPr>
      <w:r>
        <w:rPr>
          <w:rFonts w:hint="eastAsia"/>
        </w:rPr>
        <w:t>材料目录与口径说明：用于识别材料边界及数据组之间的覆盖差异。</w:t>
      </w:r>
    </w:p>
    <w:p>
      <w:pPr>
        <w:pStyle w:val="000015"/>
        <w:ind w:left="374" w:hanging="259"/>
      </w:pPr>
      <w:r>
        <w:rPr>
          <w:rFonts w:hint="eastAsia"/>
        </w:rPr>
        <w:t>同行评议论文和官方法规入口：用于解释生物学合理性与合规边界。</w:t>
      </w:r>
    </w:p>
    <w:p>
      <w:pPr>
        <w:pStyle w:val="000015"/>
        <w:ind w:left="374" w:hanging="259"/>
      </w:pPr>
      <w:r>
        <w:rPr>
          <w:rFonts w:hint="eastAsia"/>
        </w:rPr>
        <w:t>历史标准、境外文件和说明性摘要：仅作背景，不作为中国商业应用依据。</w:t>
      </w:r>
    </w:p>
    <w:tbl>
      <w:tblPr>
        <w:tblStyle w:val="0000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208"/>
      </w:tblGrid>
      <w:tr>
        <w:trPr>
          <w:jc w:val="center"/>
        </w:trPr>
        <w:tc>
          <w:tcPr>
            <w:tcW w:w="4680" w:type="dxa"/>
            <w:shd w:val="clear" w:color="auto" w:fill="BF9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冲突处理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跨期证据记录中出现“红阳”和“20℃”等表述，但现有材料缺少可独立核验的原始试验方案；因此报告不把这些表述作为已确认设计条件。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2.2 分析口径</w:t>
      </w:r>
    </w:p>
    <w:p>
      <w:pPr>
        <w:pStyle w:val="000017"/>
        <w:ind w:left="346" w:hanging="230"/>
      </w:pPr>
      <w:r>
        <w:rPr>
          <w:rFonts w:hint="eastAsia"/>
        </w:rPr>
        <w:t>实验数据按组别与时间点计算均值、样本标准差、组间差异和探索性Welch双侧检验；Bonferroni校正覆盖30个组间比较。</w:t>
      </w:r>
    </w:p>
    <w:p>
      <w:pPr>
        <w:pStyle w:val="000017"/>
        <w:ind w:left="346" w:hanging="230"/>
      </w:pPr>
      <w:r>
        <w:rPr>
          <w:rFonts w:hint="eastAsia"/>
        </w:rPr>
        <w:t>统计显著性与经营可用性分开判断；p值需结合效应量、轨迹一致性、独立批次复现和质量副作用综合评估</w:t>
      </w:r>
      <w:r>
        <w:rPr>
          <w:rFonts w:hint="eastAsia"/>
        </w:rPr>
        <w:t>。</w:t>
      </w:r>
    </w:p>
    <w:p>
      <w:pPr>
        <w:pStyle w:val="000017"/>
        <w:ind w:left="346" w:hanging="230"/>
      </w:pPr>
      <w:r>
        <w:rPr>
          <w:rFonts w:hint="eastAsia"/>
        </w:rPr>
        <w:t>经营对账按各台账自身覆盖范围计算；采购、库存、销售和渠道数据不强行合并为同一总体。</w:t>
      </w:r>
    </w:p>
    <w:p>
      <w:pPr>
        <w:pStyle w:val="000017"/>
        <w:ind w:left="346" w:hanging="230"/>
      </w:pPr>
      <w:r>
        <w:rPr>
          <w:rFonts w:hint="eastAsia"/>
        </w:rPr>
        <w:t>情景收益以成熟相关损失、折价销售和退货为可量化抓手；处理、批次固定和培训成本按现有样例口径计入。</w:t>
      </w:r>
    </w:p>
    <w:p>
      <w:pPr>
        <w:pStyle w:val="000021"/>
      </w:pPr>
      <w:r>
        <w:rPr>
          <w:rFonts w:hint="eastAsia"/>
        </w:rPr>
        <w:t>3 采后小试结果</w:t>
      </w:r>
    </w:p>
    <w:p>
      <w:pPr/>
      <w:r>
        <w:rPr>
          <w:rFonts w:hint="eastAsia"/>
        </w:rPr>
        <w:t>六项指标均覆盖0、7、14、21和28 d，CK与GA₃组每个时间点各有3条记录。结果显示，GA₃组的成熟进程整体后移，但现有数据的重复身份和实验条件仍需补证。</w:t>
      </w:r>
    </w:p>
    <w:p>
      <w:pPr/>
      <w:r>
        <w:drawing>
          <ns1:inline distT="0" distB="0" distL="114300" distR="114300">
            <ns1:extent cx="6080760" cy="3597275"/>
            <ns1:effectExtent l="0" t="0" r="15240" b="9525"/>
            <ns1:docPr id="2" name="Picture 1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3" name="Picture 1"/>
                    <ns3:cNvPicPr>
                      <ns2:picLocks noChangeAspect="1"/>
                    </ns3:cNvPicPr>
                  </ns3:nvPicPr>
                  <ns3:blipFill>
                    <ns2:blip ns4:embed="rId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80760" cy="3597783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before="60" w:after="160"/>
        <w:jc w:val="center"/>
      </w:pPr>
      <w:r>
        <w:rPr>
          <w:rFonts w:hint="eastAsia" w:ascii="Calibri" w:hAnsi="Calibri" w:eastAsia="微软雅黑"/>
          <w:color w:val="666666"/>
          <w:sz w:val="16"/>
        </w:rPr>
        <w:t>图1 六项生理指标随贮藏时间的均值轨迹</w:t>
      </w:r>
    </w:p>
    <w:p>
      <w:pPr>
        <w:spacing w:before="40" w:after="120"/>
      </w:pPr>
      <w:r>
        <w:rPr>
          <w:rFonts w:hint="eastAsia" w:ascii="Calibri" w:hAnsi="Calibri" w:eastAsia="微软雅黑"/>
          <w:color w:val="666666"/>
          <w:sz w:val="15"/>
        </w:rPr>
        <w:t>资料来源：实验资料中的六个原始工作簿；数值由测算底稿联动计算。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  <w:tblHeader w:val="1"/>
          <w:jc w:val="center"/>
        </w:trPr>
        <w:tc>
          <w:tcPr>
            <w:tcW w:w="208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指标</w:t>
            </w:r>
          </w:p>
        </w:tc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单位</w:t>
            </w:r>
          </w:p>
        </w:tc>
        <w:tc>
          <w:tcPr>
            <w:tcW w:w="165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28 d CK均值</w:t>
            </w:r>
          </w:p>
        </w:tc>
        <w:tc>
          <w:tcPr>
            <w:tcW w:w="165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28 d GA₃均值</w:t>
            </w:r>
          </w:p>
        </w:tc>
        <w:tc>
          <w:tcPr>
            <w:tcW w:w="144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差值</w:t>
            </w:r>
          </w:p>
        </w:tc>
        <w:tc>
          <w:tcPr>
            <w:tcW w:w="165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方向</w:t>
            </w:r>
          </w:p>
        </w:tc>
      </w:tr>
      <w:tr>
        <w:trPr>
          <w:cantSplit w:val="1"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硬度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N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3.000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16.000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13.000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GA₃高于CK</w:t>
            </w:r>
          </w:p>
        </w:tc>
      </w:tr>
      <w:tr>
        <w:trPr>
          <w:cantSplit w:val="1"/>
          <w:jc w:val="center"/>
        </w:trPr>
        <w:tc>
          <w:tcPr>
            <w:tcW w:w="20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可溶性固形物</w:t>
            </w:r>
          </w:p>
        </w:tc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%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15.000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12.000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-3.000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GA₃低于CK</w:t>
            </w:r>
          </w:p>
        </w:tc>
      </w:tr>
      <w:tr>
        <w:trPr>
          <w:cantSplit w:val="1"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总酸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%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0.600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1.000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0.400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GA₃高于CK</w:t>
            </w:r>
          </w:p>
        </w:tc>
      </w:tr>
      <w:tr>
        <w:trPr>
          <w:cantSplit w:val="1"/>
          <w:jc w:val="center"/>
        </w:trPr>
        <w:tc>
          <w:tcPr>
            <w:tcW w:w="20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乙烯释放速率</w:t>
            </w:r>
          </w:p>
        </w:tc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μL·kg⁻¹·h⁻¹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14.000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0.500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-13.500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GA₃低于CK</w:t>
            </w:r>
          </w:p>
        </w:tc>
      </w:tr>
      <w:tr>
        <w:trPr>
          <w:cantSplit w:val="1"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淀粉含量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g·kg⁻¹ FW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5.000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18.000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13.000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GA₃高于CK</w:t>
            </w:r>
          </w:p>
        </w:tc>
      </w:tr>
      <w:tr>
        <w:trPr>
          <w:cantSplit w:val="1"/>
          <w:jc w:val="center"/>
        </w:trPr>
        <w:tc>
          <w:tcPr>
            <w:tcW w:w="20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抗坏血酸</w:t>
            </w:r>
          </w:p>
        </w:tc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g·kg⁻¹ FW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0.480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0.510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0.030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GA₃高于CK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3.1 指标解释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cantSplit w:val="1"/>
          <w:tblHeader w:val="1"/>
          <w:jc w:val="center"/>
        </w:trPr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指标</w:t>
            </w:r>
          </w:p>
        </w:tc>
        <w:tc>
          <w:tcPr>
            <w:tcW w:w="381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观察</w:t>
            </w:r>
          </w:p>
        </w:tc>
        <w:tc>
          <w:tcPr>
            <w:tcW w:w="446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决策解释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硬度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7 d后GA₃组保持更高硬度，28 d分别为16.0 N与3.0 N。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支持软化延缓；需补充腐烂、失重、感官和运输耐受，避免把“更硬”直接等同于“更可售”。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可溶性固形物</w:t>
            </w:r>
          </w:p>
        </w:tc>
        <w:tc>
          <w:tcPr>
            <w:tcW w:w="381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GA₃组上升较慢，28 d为12.0%，CK为15.0%。</w:t>
            </w:r>
          </w:p>
        </w:tc>
        <w:tc>
          <w:tcPr>
            <w:tcW w:w="446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与成熟进程后移一致；不应单独解释为风味改善。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总酸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GA₃组下降较慢，28 d为1.00%，CK为0.60%。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支持酸消耗延缓；仍需与糖酸比和感官联动。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乙烯释放速率</w:t>
            </w:r>
          </w:p>
        </w:tc>
        <w:tc>
          <w:tcPr>
            <w:tcW w:w="381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7—28 d GA₃组均明显低于CK，28 d为0.50与14.00 μL·kg⁻¹·h⁻¹。</w:t>
            </w:r>
          </w:p>
        </w:tc>
        <w:tc>
          <w:tcPr>
            <w:tcW w:w="446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支持乙烯相关成熟过程受到抑制；低温下还可能存在乙烯非依赖路径。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淀粉含量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0 d两组均为65.0 g·kg⁻¹ FW；此后GA₃组下降较慢，28 d为18.0，CK为5.0。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支持淀粉降解推迟；初始值以原始工作簿为准。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抗坏血酸</w:t>
            </w:r>
          </w:p>
        </w:tc>
        <w:tc>
          <w:tcPr>
            <w:tcW w:w="381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GA₃组全程略高，28 d为0.510，CK为0.480 g·kg⁻¹ FW。</w:t>
            </w:r>
          </w:p>
        </w:tc>
        <w:tc>
          <w:tcPr>
            <w:tcW w:w="446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差异幅度较小且多重校正后不稳定，不作为主要决策终点。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3.2 统计解释边界</w:t>
      </w:r>
    </w:p>
    <w:tbl>
      <w:tblPr>
        <w:tblStyle w:val="0000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208"/>
      </w:tblGrid>
      <w:tr>
        <w:trPr>
          <w:jc w:val="center"/>
        </w:trPr>
        <w:tc>
          <w:tcPr>
            <w:tcW w:w="4680" w:type="dxa"/>
            <w:shd w:val="clear" w:color="auto" w:fill="BF9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统计定位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统计检验仅用于探索信号。样本量小、时间点可能并非独立、缺少批次和重复身份信息，尚不足以推断稳定处理效应或生产尺度收益</w:t>
            </w:r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。</w:t>
            </w:r>
          </w:p>
        </w:tc>
      </w:tr>
    </w:tbl>
    <w:p>
      <w:pPr>
        <w:spacing w:after="0"/>
      </w:pPr>
    </w:p>
    <w:p>
      <w:pPr>
        <w:pStyle w:val="000017"/>
        <w:ind w:left="346" w:hanging="230"/>
      </w:pPr>
      <w:r>
        <w:rPr>
          <w:rFonts w:hint="eastAsia"/>
        </w:rPr>
        <w:t>硬度、可溶性固形物、总酸、乙烯和淀粉在7—28 d多数比较呈明显差异，方向与成熟延缓一致。</w:t>
      </w:r>
    </w:p>
    <w:p>
      <w:pPr>
        <w:pStyle w:val="000017"/>
        <w:ind w:left="346" w:hanging="230"/>
      </w:pPr>
      <w:r>
        <w:rPr>
          <w:rFonts w:hint="eastAsia"/>
        </w:rPr>
        <w:t>0 d乙烯和淀粉两组方差均为0且均值相同，测算底稿按“无差异”处理，不将不可定义的t检验伪装为显著结果。</w:t>
      </w:r>
    </w:p>
    <w:p>
      <w:pPr>
        <w:pStyle w:val="000017"/>
        <w:ind w:left="346" w:hanging="230"/>
      </w:pPr>
      <w:r>
        <w:rPr>
          <w:rFonts w:hint="eastAsia"/>
        </w:rPr>
        <w:t>抗坏血酸的名义差异较小，经30项Bonferroni校正后不构成稳健的独立证据。</w:t>
      </w:r>
    </w:p>
    <w:p>
      <w:pPr>
        <w:pStyle w:val="000017"/>
        <w:ind w:left="346" w:hanging="230"/>
      </w:pPr>
      <w:r>
        <w:rPr>
          <w:rFonts w:hint="eastAsia"/>
        </w:rPr>
        <w:t>中试需要预先指定主要终点，避免在多指标、多时间点中事后选择最有利结果。</w:t>
      </w:r>
    </w:p>
    <w:p>
      <w:pPr/>
      <w:r>
        <w:br w:type="page"/>
      </w:r>
    </w:p>
    <w:p>
      <w:pPr>
        <w:pStyle w:val="000023"/>
      </w:pPr>
      <w:r>
        <w:rPr>
          <w:rFonts w:hint="eastAsia"/>
        </w:rPr>
        <w:t>3.3 表型图像</w:t>
      </w:r>
    </w:p>
    <w:p>
      <w:pPr/>
      <w:r>
        <w:drawing>
          <ns1:inline distT="0" distB="0" distL="114300" distR="114300">
            <ns1:extent cx="5943600" cy="2228850"/>
            <ns1:effectExtent l="0" t="0" r="0" b="6350"/>
            <ns1:docPr id="5" name="Picture 2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6" name="Picture 2"/>
                    <ns3:cNvPicPr>
                      <ns2:picLocks noChangeAspect="1"/>
                    </ns3:cNvPicPr>
                  </ns3:nvPicPr>
                  <ns3:blipFill>
                    <ns2:blip ns4:embed="rId1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43600" cy="222885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before="60" w:after="160"/>
        <w:jc w:val="center"/>
      </w:pPr>
      <w:r>
        <w:rPr>
          <w:rFonts w:hint="eastAsia" w:ascii="Calibri" w:hAnsi="Calibri" w:eastAsia="微软雅黑"/>
          <w:color w:val="666666"/>
          <w:sz w:val="16"/>
        </w:rPr>
        <w:t>图2 现有表型图像</w:t>
      </w:r>
    </w:p>
    <w:p>
      <w:pPr/>
      <w:r>
        <w:rPr>
          <w:rFonts w:hint="eastAsia"/>
        </w:rPr>
        <w:t>图像可用于观察外观差异，但当前材料没有样品编码、拍摄时间、光照、色卡、重复照片和盲评记录。因此，图像仅作定性佐证，不参与颜色、腐烂率或商品等级的定量判断。</w:t>
      </w:r>
    </w:p>
    <w:p>
      <w:pPr/>
      <w:r>
        <w:t xml:space="preserve">从业务角度看，表型图的价值不是直接判定商品等级，而是提示未来试点必须把外观评分、腐烂率、失重率、货架期、渠道验收和客诉退货放在同一证据链中记录。当前经营样例中，成熟相关问题量为8,790.0 kg、估计损失44,598.21元，折价销售31,665.3 kg、退货1,695.2 kg；若GA₃处理不能把图像层面的外观保持转化为折价减少、退货减少或渠道验收改善，就不能形成经营闭环。</w:t>
      </w:r>
    </w:p>
    <w:p>
      <w:pPr/>
      <w:r>
        <w:t xml:space="preserve">因此，下一阶段表型采集建议采用固定光源、色卡、样品编码、盲评等级和同批次对照，并与销售流水、报损折价、质检建议和渠道动销记录绑定。仅凭单张或少量照片，不应推导颜色等级、腐烂率、可售窗口或消费者接受度。</w:t>
      </w:r>
    </w:p>
    <w:p>
      <w:pPr>
        <w:spacing w:before="40" w:after="120"/>
      </w:pPr>
      <w:r>
        <w:rPr>
          <w:rFonts w:hint="eastAsia" w:ascii="Calibri" w:hAnsi="Calibri" w:eastAsia="微软雅黑"/>
          <w:color w:val="666666"/>
          <w:sz w:val="15"/>
        </w:rPr>
        <w:t>资料来源：实验资料/表型图.png。</w:t>
      </w:r>
    </w:p>
    <w:p>
      <w:pPr>
        <w:pStyle w:val="000023"/>
      </w:pPr>
      <w:r>
        <w:rPr>
          <w:rFonts w:hint="eastAsia"/>
        </w:rPr>
        <w:t>3.4 小试结论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cantSplit w:val="1"/>
          <w:tblHeader w:val="1"/>
          <w:jc w:val="center"/>
        </w:trPr>
        <w:tc>
          <w:tcPr>
            <w:tcW w:w="288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问题</w:t>
            </w:r>
          </w:p>
        </w:tc>
        <w:tc>
          <w:tcPr>
            <w:tcW w:w="115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判断</w:t>
            </w:r>
          </w:p>
        </w:tc>
        <w:tc>
          <w:tcPr>
            <w:tcW w:w="604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理由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是否存在成熟延缓信号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是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六项指标的时间轨迹整体同向，且外部GA研究提供生物学合理性。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是否已经证明机制</w:t>
            </w:r>
          </w:p>
        </w:tc>
        <w:tc>
          <w:tcPr>
            <w:tcW w:w="115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否</w:t>
            </w:r>
          </w:p>
        </w:tc>
        <w:tc>
          <w:tcPr>
            <w:tcW w:w="60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缺少转录、酶活、激素谱等机制层证据。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是否可直接外推冷链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否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低温存在不同成熟路径，且当前实验条件未形成可核验主记录。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是否可直接转为商业SOP</w:t>
            </w:r>
          </w:p>
        </w:tc>
        <w:tc>
          <w:tcPr>
            <w:tcW w:w="115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否</w:t>
            </w:r>
          </w:p>
        </w:tc>
        <w:tc>
          <w:tcPr>
            <w:tcW w:w="60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合规、独立复现、质量副作用、运营能力和经济性尚未闭环。</w:t>
            </w:r>
          </w:p>
        </w:tc>
      </w:tr>
    </w:tbl>
    <w:p>
      <w:pPr>
        <w:spacing w:after="0"/>
      </w:pPr>
    </w:p>
    <w:p>
      <w:pPr/>
      <w:r>
        <w:br w:type="page"/>
      </w:r>
    </w:p>
    <w:p>
      <w:pPr>
        <w:pStyle w:val="000021"/>
      </w:pPr>
      <w:r>
        <w:rPr>
          <w:rFonts w:hint="eastAsia"/>
        </w:rPr>
        <w:t>4 供应链经营基线</w:t>
      </w:r>
    </w:p>
    <w:p>
      <w:pPr/>
      <w:r>
        <w:rPr>
          <w:rFonts w:hint="eastAsia"/>
        </w:rPr>
        <w:t>经营材料表明成熟度相关问题具有可量化规模，但各台账的覆盖期和批次范围不同。经营基线</w:t>
      </w:r>
      <w:r>
        <w:rPr>
          <w:rFonts w:hint="eastAsia"/>
          <w:lang w:val="en-US" w:eastAsia="zh-CN"/>
        </w:rPr>
        <w:t>仅可</w:t>
      </w:r>
      <w:r>
        <w:rPr>
          <w:rFonts w:hint="eastAsia"/>
        </w:rPr>
        <w:t>用于确定验证价值</w:t>
      </w:r>
      <w:bookmarkStart w:id="1" w:name="_GoBack"/>
      <w:bookmarkEnd w:id="1"/>
      <w:r>
        <w:rPr>
          <w:rFonts w:hint="eastAsia"/>
        </w:rPr>
        <w:t>。</w:t>
      </w:r>
    </w:p>
    <w:p>
      <w:pPr/>
      <w:r>
        <w:drawing>
          <ns1:inline distT="0" distB="0" distL="114300" distR="114300">
            <ns1:extent cx="5852160" cy="2990850"/>
            <ns1:effectExtent l="0" t="0" r="15240" b="6350"/>
            <ns1:docPr id="8" name="Picture 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9" name="Picture 3"/>
                    <ns3:cNvPicPr>
                      <ns2:picLocks noChangeAspect="1"/>
                    </ns3:cNvPicPr>
                  </ns3:nvPicPr>
                  <ns3:blipFill>
                    <ns2:blip ns4:embed="rId1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52160" cy="2991104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before="60" w:after="160"/>
        <w:jc w:val="center"/>
      </w:pPr>
      <w:r>
        <w:rPr>
          <w:rFonts w:hint="eastAsia" w:ascii="Calibri" w:hAnsi="Calibri" w:eastAsia="微软雅黑"/>
          <w:color w:val="666666"/>
          <w:sz w:val="16"/>
        </w:rPr>
        <w:t>图3 经营端可量化问题规模</w:t>
      </w:r>
    </w:p>
    <w:p>
      <w:pPr>
        <w:spacing w:before="40" w:after="120"/>
      </w:pPr>
      <w:r>
        <w:rPr>
          <w:rFonts w:hint="eastAsia" w:ascii="Calibri" w:hAnsi="Calibri" w:eastAsia="微软雅黑"/>
          <w:color w:val="666666"/>
          <w:sz w:val="15"/>
        </w:rPr>
        <w:t>资料来源：企业经营数据样例；指标口径见测算底稿“经营基线”。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cantSplit w:val="1"/>
          <w:tblHeader w:val="1"/>
          <w:jc w:val="center"/>
        </w:trPr>
        <w:tc>
          <w:tcPr>
            <w:tcW w:w="158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数据组</w:t>
            </w:r>
          </w:p>
        </w:tc>
        <w:tc>
          <w:tcPr>
            <w:tcW w:w="208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指标</w:t>
            </w:r>
          </w:p>
        </w:tc>
        <w:tc>
          <w:tcPr>
            <w:tcW w:w="244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数值</w:t>
            </w:r>
          </w:p>
        </w:tc>
        <w:tc>
          <w:tcPr>
            <w:tcW w:w="396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说明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采购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批次数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28 批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采购批次去重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采购</w:t>
            </w:r>
          </w:p>
        </w:tc>
        <w:tc>
          <w:tcPr>
            <w:tcW w:w="20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到货量</w:t>
            </w:r>
          </w:p>
        </w:tc>
        <w:tc>
          <w:tcPr>
            <w:tcW w:w="24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470,800.0 kg</w:t>
            </w:r>
          </w:p>
        </w:tc>
        <w:tc>
          <w:tcPr>
            <w:tcW w:w="39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采购台账合计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采购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采购金额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3,610,483.00 元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加权采购单价 7.6688 元/kg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库存</w:t>
            </w:r>
          </w:p>
        </w:tc>
        <w:tc>
          <w:tcPr>
            <w:tcW w:w="20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出库量</w:t>
            </w:r>
          </w:p>
        </w:tc>
        <w:tc>
          <w:tcPr>
            <w:tcW w:w="24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450,508.0 kg</w:t>
            </w:r>
          </w:p>
        </w:tc>
        <w:tc>
          <w:tcPr>
            <w:tcW w:w="39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库存流水合计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库存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报损量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12,299.9 kg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库存平衡差异 -0.5 kg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报损折价</w:t>
            </w:r>
          </w:p>
        </w:tc>
        <w:tc>
          <w:tcPr>
            <w:tcW w:w="20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成熟相关问题量</w:t>
            </w:r>
          </w:p>
        </w:tc>
        <w:tc>
          <w:tcPr>
            <w:tcW w:w="24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8,790.0 kg</w:t>
            </w:r>
          </w:p>
        </w:tc>
        <w:tc>
          <w:tcPr>
            <w:tcW w:w="39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估计损失 44,598.21 元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销售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销量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179,482.7 kg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加权销售价 26.0000 元/kg（13.0000 元/斤）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销售</w:t>
            </w:r>
          </w:p>
        </w:tc>
        <w:tc>
          <w:tcPr>
            <w:tcW w:w="20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折价销售量</w:t>
            </w:r>
          </w:p>
        </w:tc>
        <w:tc>
          <w:tcPr>
            <w:tcW w:w="24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31,665.3 kg</w:t>
            </w:r>
          </w:p>
        </w:tc>
        <w:tc>
          <w:tcPr>
            <w:tcW w:w="39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折价占比 17.64%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销售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退货量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7"/>
              </w:rPr>
              <w:t>1,695.2 kg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退货率 0.94%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4.1 台账对账与覆盖边界</w:t>
      </w:r>
    </w:p>
    <w:tbl>
      <w:tblPr>
        <w:tblStyle w:val="0000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208"/>
      </w:tblGrid>
      <w:tr>
        <w:trPr>
          <w:jc w:val="center"/>
        </w:trPr>
        <w:tc>
          <w:tcPr>
            <w:tcW w:w="468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对账结果</w:t>
            </w:r>
          </w:p>
        </w:tc>
        <w:tc>
          <w:tcPr>
            <w:tcW w:w="46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采购到货量－库存出库量－库存报损量－末笔库存＝-0.5 kg。差异很小，但仍需按批次核对时间截点、四舍五入和调整记录。</w:t>
            </w:r>
          </w:p>
        </w:tc>
      </w:tr>
    </w:tbl>
    <w:p>
      <w:pPr>
        <w:spacing w:after="0"/>
      </w:pPr>
    </w:p>
    <w:p>
      <w:pPr>
        <w:pStyle w:val="000017"/>
        <w:ind w:left="346" w:hanging="230"/>
      </w:pPr>
      <w:r>
        <w:rPr>
          <w:rFonts w:hint="eastAsia"/>
        </w:rPr>
        <w:t>采购与库存围绕采购批次组织，可进行批次余额核验。</w:t>
      </w:r>
    </w:p>
    <w:p>
      <w:pPr>
        <w:pStyle w:val="000017"/>
        <w:ind w:left="346" w:hanging="230"/>
      </w:pPr>
      <w:r>
        <w:rPr>
          <w:rFonts w:hint="eastAsia"/>
        </w:rPr>
        <w:t>销售流水覆盖量为179,482.7 kg，明显小于库存出库量450,508.0 kg；两者不宜直接计算全链路销售率。销售流水已按猕猴桃市场价13元/斤（26元/kg）重算收入。</w:t>
      </w:r>
      <w:r>
        <w:rPr>
          <w:rFonts w:hint="eastAsia"/>
        </w:rPr>
      </w:r>
    </w:p>
    <w:p>
      <w:pPr>
        <w:pStyle w:val="000017"/>
        <w:ind w:left="346" w:hanging="230"/>
      </w:pPr>
      <w:r>
        <w:rPr>
          <w:rFonts w:hint="eastAsia"/>
        </w:rPr>
        <w:t>渠道动销记录覆盖27个批次、到货61,577.9 kg，仅代表渠道样例，不宜外推全量采购</w:t>
      </w:r>
      <w:r>
        <w:rPr>
          <w:rFonts w:hint="eastAsia"/>
        </w:rPr>
        <w:t>。</w:t>
      </w:r>
    </w:p>
    <w:p>
      <w:pPr>
        <w:pStyle w:val="000017"/>
        <w:ind w:left="346" w:hanging="230"/>
      </w:pPr>
      <w:r>
        <w:rPr>
          <w:rFonts w:hint="eastAsia"/>
        </w:rPr>
        <w:t>报损折价记录中的问题量与库存报损口径不同，前者还包含折价处理，不应重复计入损失。</w:t>
      </w:r>
    </w:p>
    <w:p>
      <w:pPr>
        <w:pStyle w:val="000023"/>
      </w:pPr>
      <w:r>
        <w:rPr>
          <w:rFonts w:hint="eastAsia"/>
        </w:rPr>
        <w:t>4.2 冷链与质检信号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cantSplit w:val="1"/>
          <w:tblHeader w:val="1"/>
          <w:jc w:val="center"/>
        </w:trPr>
        <w:tc>
          <w:tcPr>
            <w:tcW w:w="201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指标</w:t>
            </w:r>
          </w:p>
        </w:tc>
        <w:tc>
          <w:tcPr>
            <w:tcW w:w="302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数值</w:t>
            </w:r>
          </w:p>
        </w:tc>
        <w:tc>
          <w:tcPr>
            <w:tcW w:w="504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管理含义</w:t>
            </w:r>
          </w:p>
        </w:tc>
      </w:tr>
      <w:tr>
        <w:trPr>
          <w:cantSplit w:val="1"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平均温度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8"/>
              </w:rPr>
              <w:t>5.74 ℃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仅作为样例期平均，不等同于所有批次温度条件一致</w:t>
            </w:r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。</w:t>
            </w:r>
          </w:p>
        </w:tc>
      </w:tr>
      <w:tr>
        <w:trPr>
          <w:cantSplit w:val="1"/>
          <w:jc w:val="center"/>
        </w:trPr>
        <w:tc>
          <w:tcPr>
            <w:tcW w:w="201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最高温度</w:t>
            </w:r>
          </w:p>
        </w:tc>
        <w:tc>
          <w:tcPr>
            <w:tcW w:w="30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8"/>
              </w:rPr>
              <w:t>23.5 ℃</w:t>
            </w:r>
          </w:p>
        </w:tc>
        <w:tc>
          <w:tcPr>
            <w:tcW w:w="50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存在明显高温点，需与断链时段和批次对应。</w:t>
            </w:r>
          </w:p>
        </w:tc>
      </w:tr>
      <w:tr>
        <w:trPr>
          <w:cantSplit w:val="1"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超温时长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8"/>
              </w:rPr>
              <w:t>194.5 h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处理效果与冷链偏差可能交互，试点需并行记录。</w:t>
            </w:r>
          </w:p>
        </w:tc>
      </w:tr>
      <w:tr>
        <w:trPr>
          <w:cantSplit w:val="1"/>
          <w:jc w:val="center"/>
        </w:trPr>
        <w:tc>
          <w:tcPr>
            <w:tcW w:w="201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冷链中断</w:t>
            </w:r>
          </w:p>
        </w:tc>
        <w:tc>
          <w:tcPr>
            <w:tcW w:w="30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4 次</w:t>
            </w:r>
          </w:p>
        </w:tc>
        <w:tc>
          <w:tcPr>
            <w:tcW w:w="50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应纳入异常批次分层。</w:t>
            </w:r>
          </w:p>
        </w:tc>
      </w:tr>
      <w:tr>
        <w:trPr>
          <w:cantSplit w:val="1"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质检建议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可售93 / 临界32 / 不建议15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可作为试点商品状态分层，但需锁定抽样单位。</w:t>
            </w:r>
          </w:p>
        </w:tc>
      </w:tr>
    </w:tbl>
    <w:p>
      <w:pPr>
        <w:spacing w:after="0"/>
      </w:pPr>
    </w:p>
    <w:p>
      <w:pPr/>
      <w:r>
        <w:br w:type="page"/>
      </w:r>
    </w:p>
    <w:p>
      <w:pPr>
        <w:pStyle w:val="000021"/>
      </w:pPr>
      <w:r>
        <w:rPr>
          <w:rFonts w:hint="eastAsia"/>
        </w:rPr>
        <w:t>5 外部证据与机制边界</w:t>
      </w:r>
    </w:p>
    <w:p>
      <w:pPr/>
      <w:r>
        <w:rPr>
          <w:rFonts w:hint="eastAsia"/>
        </w:rPr>
        <w:t>外部文献为成熟延缓方向提供支持，但本项目仍需独立完成实验身份确认、冷链复现和合规核验</w:t>
      </w:r>
      <w:r>
        <w:rPr>
          <w:rFonts w:hint="eastAsia"/>
        </w:rPr>
        <w:t>。证据解释采用“直接支持—替代解释—外推边界”三层结构。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cantSplit w:val="1"/>
          <w:tblHeader w:val="1"/>
          <w:jc w:val="center"/>
        </w:trPr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证据层</w:t>
            </w:r>
          </w:p>
        </w:tc>
        <w:tc>
          <w:tcPr>
            <w:tcW w:w="165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代表资料</w:t>
            </w:r>
          </w:p>
        </w:tc>
        <w:tc>
          <w:tcPr>
            <w:tcW w:w="367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支持内容</w:t>
            </w:r>
          </w:p>
        </w:tc>
        <w:tc>
          <w:tcPr>
            <w:tcW w:w="367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不宜证明证明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GA直接证据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E12、E16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GA处理与硬度保持、淀粉/细胞壁降解、乙烯和成熟推迟相关。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外部品种、剂量和条件不宜直接等同于本项目已验证机制</w:t>
            </w:r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成熟机制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E02、E03、E05、E07、E11</w:t>
            </w:r>
          </w:p>
        </w:tc>
        <w:tc>
          <w:tcPr>
            <w:tcW w:w="367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细胞壁、乙烯、淀粉和代谢网络参与成熟。</w:t>
            </w:r>
          </w:p>
        </w:tc>
        <w:tc>
          <w:tcPr>
            <w:tcW w:w="367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本项目未测基因、酶活、果胶或代谢组，尚难形成因果归因</w:t>
            </w:r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低温与品种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E04、E08—E10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低温可触发乙烯非依赖变化，品种和采收成熟度影响软化。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常温或单一材料结果不宜直接代表多品种冷链</w:t>
            </w:r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。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激素互作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E14、E15</w:t>
            </w:r>
          </w:p>
        </w:tc>
        <w:tc>
          <w:tcPr>
            <w:tcW w:w="367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不同激素和调控网络可能作用于共同成熟节点。</w:t>
            </w:r>
          </w:p>
        </w:tc>
        <w:tc>
          <w:tcPr>
            <w:tcW w:w="367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观测差异不宜全部归因于单一GA通路</w:t>
            </w:r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。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5.1 可证实的项目层结论</w:t>
      </w:r>
    </w:p>
    <w:p>
      <w:pPr>
        <w:pStyle w:val="000017"/>
        <w:ind w:left="346" w:hanging="230"/>
      </w:pPr>
      <w:r>
        <w:rPr>
          <w:rFonts w:hint="eastAsia"/>
        </w:rPr>
        <w:t>在现有测定窗口内，GA₃组呈现成熟进程后移的多指标一致信号。</w:t>
      </w:r>
    </w:p>
    <w:p>
      <w:pPr>
        <w:pStyle w:val="000017"/>
        <w:ind w:left="346" w:hanging="230"/>
      </w:pPr>
      <w:r>
        <w:rPr>
          <w:rFonts w:hint="eastAsia"/>
        </w:rPr>
        <w:t>该信号与已发表GA处理研究方向一致，具备继续验证的生物学合理性。</w:t>
      </w:r>
    </w:p>
    <w:p>
      <w:pPr>
        <w:pStyle w:val="000017"/>
        <w:ind w:left="346" w:hanging="230"/>
      </w:pPr>
      <w:r>
        <w:rPr>
          <w:rFonts w:hint="eastAsia"/>
        </w:rPr>
        <w:t>本项目尚难识别具体分子机制，亦难以量化冷链下的可售窗口增益</w:t>
      </w:r>
      <w:r>
        <w:rPr>
          <w:rFonts w:hint="eastAsia"/>
        </w:rPr>
        <w:t>。</w:t>
      </w:r>
    </w:p>
    <w:p>
      <w:pPr>
        <w:pStyle w:val="000017"/>
        <w:ind w:left="346" w:hanging="230"/>
      </w:pPr>
      <w:r>
        <w:rPr>
          <w:rFonts w:hint="eastAsia"/>
        </w:rPr>
        <w:t>批次、品种、采收成熟度、温度和工艺条件是下一阶段必须显式控制的外推变量。</w:t>
      </w:r>
    </w:p>
    <w:p>
      <w:pPr/>
      <w:r>
        <w:br w:type="page"/>
      </w:r>
    </w:p>
    <w:p>
      <w:pPr>
        <w:pStyle w:val="000021"/>
      </w:pPr>
      <w:r>
        <w:rPr>
          <w:rFonts w:hint="eastAsia"/>
        </w:rPr>
        <w:t>6 合规与标准适用性</w:t>
      </w:r>
    </w:p>
    <w:tbl>
      <w:tblPr>
        <w:tblStyle w:val="0000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208"/>
      </w:tblGrid>
      <w:tr>
        <w:trPr>
          <w:jc w:val="center"/>
        </w:trPr>
        <w:tc>
          <w:tcPr>
            <w:tcW w:w="4680" w:type="dxa"/>
            <w:shd w:val="clear" w:color="auto" w:fill="A61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合规结论</w:t>
            </w:r>
          </w:p>
        </w:tc>
        <w:tc>
          <w:tcPr>
            <w:tcW w:w="4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现有资料不足以确认任何具体GA₃产品可在中国猕猴桃采后环节商业使用。进入商品化前，必须以具体产品登记证和核准标签为核心，完成用途、方法、残留、人员防护、追溯和属地要求核验。</w:t>
            </w:r>
          </w:p>
          <w:p>
            <w:pPr/>
            <w:r>
              <w:t xml:space="preserve">管理红线是：没有具体产品登记证和核准标签之前，本项目只能被定义为研发验证或内部技术评估，不能转化为商业施用方案、渠道销售承诺或对外宣传口径；任何剂量、次数、处理方式和安全间隔均不得由论文或情景测算反推生成。</w:t>
            </w:r>
          </w:p>
        </w:tc>
      </w:tr>
    </w:tbl>
    <w:p>
      <w:pPr>
        <w:spacing w:after="0"/>
      </w:pP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cantSplit w:val="1"/>
          <w:tblHeader w:val="1"/>
          <w:jc w:val="center"/>
        </w:trPr>
        <w:tc>
          <w:tcPr>
            <w:tcW w:w="288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资料</w:t>
            </w:r>
          </w:p>
        </w:tc>
        <w:tc>
          <w:tcPr>
            <w:tcW w:w="338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现行状态</w:t>
            </w:r>
          </w:p>
        </w:tc>
        <w:tc>
          <w:tcPr>
            <w:tcW w:w="381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本项目用法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E19 农药管理条例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现行法规；植物生长调节剂纳入农药管理框架。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用于界定监管框架，不代替具体产品登记证。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E20 农药登记管理办法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现行规章；登记资料和风险评价要求以最新修订为准。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用于界定登记与风险资料要求，不代替具体产品登记证。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E21 农药标签和说明书管理办法</w:t>
            </w:r>
          </w:p>
        </w:tc>
        <w:tc>
          <w:tcPr>
            <w:tcW w:w="338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现行规章；使用范围和方法以核准标签为准。</w:t>
            </w:r>
          </w:p>
        </w:tc>
        <w:tc>
          <w:tcPr>
            <w:tcW w:w="381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用于建立标签核验门槛，不凭论文生成施用方法。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1"/>
                <w:color w:val="1F1F1F"/>
                <w:sz w:val="17"/>
              </w:rPr>
              <w:t>E17 LY/T 1841-2009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已废止。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仅作为历史贮藏技术背景，不作为现行操作依据。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1"/>
                <w:color w:val="1F1F1F"/>
                <w:sz w:val="17"/>
              </w:rPr>
              <w:t>E18 DB52/T 1503.17-2020</w:t>
            </w:r>
          </w:p>
        </w:tc>
        <w:tc>
          <w:tcPr>
            <w:tcW w:w="338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地方标准，适用地区与品种有限。</w:t>
            </w:r>
          </w:p>
        </w:tc>
        <w:tc>
          <w:tcPr>
            <w:tcW w:w="381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可参考冷链环节，但需按使用地、品种和现行状态复核。</w:t>
            </w:r>
          </w:p>
        </w:tc>
      </w:tr>
      <w:tr>
        <w:trPr>
          <w:cantSplit w:val="1"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E22/E23 境外资料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境外历史监管背景。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不得替代中国市场准入；出口业务需另核目标市场现行要求。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6.1 商品化前的最低合规包</w:t>
      </w:r>
    </w:p>
    <w:p>
      <w:pPr>
        <w:pStyle w:val="000015"/>
        <w:ind w:left="374" w:hanging="259"/>
      </w:pPr>
      <w:r>
        <w:rPr>
          <w:rFonts w:hint="eastAsia"/>
        </w:rPr>
        <w:t>具体产品名称、有效成分、剂型、登记证号和在有效期内的登记状态。</w:t>
      </w:r>
    </w:p>
    <w:p>
      <w:pPr>
        <w:pStyle w:val="000015"/>
        <w:ind w:left="374" w:hanging="259"/>
      </w:pPr>
      <w:r>
        <w:rPr>
          <w:rFonts w:hint="eastAsia"/>
        </w:rPr>
        <w:t>核准标签和说明书中的适用作物、使用时期、方法、剂量、次数、安全间隔和防护要求。</w:t>
      </w:r>
    </w:p>
    <w:p>
      <w:pPr>
        <w:pStyle w:val="000015"/>
        <w:ind w:left="374" w:hanging="259"/>
      </w:pPr>
      <w:r>
        <w:rPr>
          <w:rFonts w:hint="eastAsia"/>
        </w:rPr>
        <w:t>处理后残留控制、检测方法、抽样方案和不合格处置。</w:t>
      </w:r>
    </w:p>
    <w:p>
      <w:pPr>
        <w:pStyle w:val="000015"/>
        <w:ind w:left="374" w:hanging="259"/>
      </w:pPr>
      <w:r>
        <w:rPr>
          <w:rFonts w:hint="eastAsia"/>
        </w:rPr>
        <w:t>采购、领用、处理、废弃物处置、批次追溯和人员培训记录。</w:t>
      </w:r>
    </w:p>
    <w:p>
      <w:pPr>
        <w:pStyle w:val="000015"/>
        <w:ind w:left="374" w:hanging="259"/>
      </w:pPr>
      <w:r>
        <w:rPr>
          <w:rFonts w:hint="eastAsia"/>
        </w:rPr>
        <w:t>属地监管及销售目的地的补充要求；涉及出口时另核目标市场MRL和准入。</w:t>
      </w:r>
    </w:p>
    <w:p>
      <w:pPr/>
      <w:r>
        <w:br w:type="page"/>
      </w:r>
    </w:p>
    <w:p>
      <w:pPr>
        <w:pStyle w:val="000021"/>
      </w:pPr>
      <w:r>
        <w:rPr>
          <w:rFonts w:hint="eastAsia"/>
        </w:rPr>
        <w:t>7 经营情景与经济性</w:t>
      </w:r>
    </w:p>
    <w:p>
      <w:pPr/>
      <w:r>
        <w:rPr>
          <w:rFonts w:hint="eastAsia"/>
        </w:rPr>
        <w:t>情景测算把现有成熟相关损失、折价销售和退货作为收益抓手，并计入变动处理成本、批次固定成本和培训成本。所有改善率均为规划假设，不是已观察到的GA₃经营效果。</w:t>
      </w:r>
    </w:p>
    <w:p>
      <w:pPr/>
      <w:r>
        <w:drawing>
          <ns1:inline distT="0" distB="0" distL="114300" distR="114300">
            <ns1:extent cx="5989320" cy="3277870"/>
            <ns1:effectExtent l="0" t="0" r="5080" b="24130"/>
            <ns1:docPr id="11" name="Picture 4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12" name="Picture 4"/>
                    <ns3:cNvPicPr>
                      <ns2:picLocks noChangeAspect="1"/>
                    </ns3:cNvPicPr>
                  </ns3:nvPicPr>
                  <ns3:blipFill>
                    <ns2:blip ns4:embed="rId1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89320" cy="3278365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before="60" w:after="160"/>
        <w:jc w:val="center"/>
      </w:pPr>
      <w:r>
        <w:rPr>
          <w:rFonts w:hint="eastAsia" w:ascii="Calibri" w:hAnsi="Calibri" w:eastAsia="微软雅黑"/>
          <w:color w:val="666666"/>
          <w:sz w:val="16"/>
        </w:rPr>
        <w:t>图4 三情景的可量化收益、完整成本与净价值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  <w:tblHeader w:val="1"/>
          <w:jc w:val="center"/>
        </w:trPr>
        <w:tc>
          <w:tcPr>
            <w:tcW w:w="158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情景</w:t>
            </w:r>
          </w:p>
        </w:tc>
        <w:tc>
          <w:tcPr>
            <w:tcW w:w="223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收益合计（元）</w:t>
            </w:r>
          </w:p>
        </w:tc>
        <w:tc>
          <w:tcPr>
            <w:tcW w:w="223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成本合计（元）</w:t>
            </w:r>
          </w:p>
        </w:tc>
        <w:tc>
          <w:tcPr>
            <w:tcW w:w="223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净价值（元）</w:t>
            </w:r>
          </w:p>
        </w:tc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收益/成本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保守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8,377.35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103,832.59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-95,455.24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0.08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中性</w:t>
            </w:r>
          </w:p>
        </w:tc>
        <w:tc>
          <w:tcPr>
            <w:tcW w:w="223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18,778.72</w:t>
            </w:r>
          </w:p>
        </w:tc>
        <w:tc>
          <w:tcPr>
            <w:tcW w:w="223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103,832.59</w:t>
            </w:r>
          </w:p>
        </w:tc>
        <w:tc>
          <w:tcPr>
            <w:tcW w:w="223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-85,053.88</w:t>
            </w:r>
          </w:p>
        </w:tc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0.18</w:t>
            </w:r>
          </w:p>
        </w:tc>
      </w:tr>
      <w:tr>
        <w:trPr>
          <w:cantSplit w:val="1"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乐观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31,204.10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103,832.59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-72,628.49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0.30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hint="eastAsia" w:ascii="Calibri" w:hAnsi="Calibri" w:eastAsia="微软雅黑"/>
          <w:color w:val="666666"/>
          <w:sz w:val="15"/>
        </w:rPr>
        <w:t>资料来源：测算底稿“情景测算”；基线来自企业经营数据样例，假设单元格可调整。</w:t>
      </w:r>
    </w:p>
    <w:p>
      <w:pPr>
        <w:pStyle w:val="000023"/>
      </w:pPr>
      <w:r>
        <w:rPr>
          <w:rFonts w:hint="eastAsia"/>
        </w:rPr>
        <w:t>7.1 决策含义</w:t>
      </w:r>
    </w:p>
    <w:p>
      <w:pPr>
        <w:pStyle w:val="000017"/>
        <w:ind w:left="346" w:hanging="230"/>
      </w:pPr>
      <w:r>
        <w:rPr>
          <w:rFonts w:hint="eastAsia"/>
        </w:rPr>
        <w:t>三种情景的成本均为103,832.59元；按市场价13元/斤更新后，净价值分别为-95,455.24元、-85,053.88元和-72,628.49元。</w:t>
      </w:r>
    </w:p>
    <w:p>
      <w:pPr>
        <w:pStyle w:val="000017"/>
        <w:ind w:left="346" w:hanging="230"/>
      </w:pPr>
      <w:r>
        <w:rPr>
          <w:rFonts w:hint="eastAsia"/>
        </w:rPr>
        <w:t>当前可量化收益不足以覆盖按全量规模估算的处理、固定和培训成本，尚不具备以经营收益为由直接推广的条件</w:t>
      </w:r>
      <w:r>
        <w:rPr>
          <w:rFonts w:hint="eastAsia"/>
        </w:rPr>
        <w:t>。</w:t>
      </w:r>
    </w:p>
    <w:p>
      <w:pPr>
        <w:pStyle w:val="000017"/>
        <w:ind w:left="346" w:hanging="230"/>
      </w:pPr>
      <w:r>
        <w:t xml:space="preserve">负值的主要来源不是单一成本项，而是“收益池有限 + 成本按全量规模计入”的组合：本版可量化收益主要来自成熟相关损失44,598.21元、折价销售31,665.3 kg和退货1,695.2 kg的改善假设；即使在乐观情景下，收益合计31,204.10元也仅覆盖完整成本103,832.59元的约30%。</w:t>
      </w:r>
    </w:p>
    <w:p>
      <w:pPr>
        <w:pStyle w:val="000017"/>
        <w:ind w:left="346" w:hanging="230"/>
      </w:pPr>
      <w:r>
        <w:t xml:space="preserve">这意味着下一阶段不能只验证硬度、淀粉或乙烯等实验指标变好，还要验证这些指标是否实际带来渠道端收益：折价销售量下降、退货和客诉下降、全价售罄速度改善、冷链异常下的可售窗口延长，以及新增检测、培训、追溯和废弃处置成本是否可控。</w:t>
      </w:r>
    </w:p>
    <w:p>
      <w:pPr>
        <w:pStyle w:val="000017"/>
        <w:ind w:left="346" w:hanging="230"/>
      </w:pPr>
      <w:r>
        <w:rPr>
          <w:rFonts w:hint="eastAsia"/>
        </w:rPr>
        <w:t>收益端未包含可售窗口延长后的真实价格差、缺货减少或客户留存；成本端也未包含设备改造、检测、注册申报、额外损耗与资本占用。</w:t>
      </w:r>
    </w:p>
    <w:p>
      <w:pPr>
        <w:pStyle w:val="000017"/>
        <w:ind w:left="346" w:hanging="230"/>
      </w:pPr>
      <w:r>
        <w:rPr>
          <w:rFonts w:hint="eastAsia"/>
        </w:rPr>
        <w:t>下一阶段的目标不是证明一个预设正收益结论，而是用受控试点获得可复算的增量收益和完整成本。</w:t>
      </w:r>
    </w:p>
    <w:p>
      <w:pPr>
        <w:pStyle w:val="000023"/>
      </w:pPr>
      <w:r>
        <w:rPr>
          <w:rFonts w:hint="eastAsia"/>
        </w:rPr>
        <w:t>7.2 试点预算与测量设计</w:t>
      </w:r>
    </w:p>
    <w:tbl>
      <w:tblPr>
        <w:tblStyle w:val="0000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208"/>
      </w:tblGrid>
      <w:tr>
        <w:trPr>
          <w:jc w:val="center"/>
        </w:trPr>
        <w:tc>
          <w:tcPr>
            <w:tcW w:w="468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预算基准</w:t>
            </w:r>
          </w:p>
        </w:tc>
        <w:tc>
          <w:tcPr>
            <w:tcW w:w="46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按30,000 kg、3个批次、1个月的规划假设，当前预计试点成本为12,499.13元；不含设备改造、残留检测和注册申报成本。</w:t>
            </w:r>
          </w:p>
          <w:p>
            <w:pPr/>
            <w:r>
              <w:t xml:space="preserve">建议采用低起点验证，不以470,800 kg采购规模直接铺开，而先选择约30,000 kg、3个独立批次和1个月窗口做受控试点。这样既能把预计试点成本控制在12,499.13元量级，又能覆盖采购、冷链、质检、渠道动销和财务复算所需的关键业务环节。</w:t>
            </w:r>
          </w:p>
          <w:p>
            <w:pPr/>
            <w:r>
              <w:t xml:space="preserve">低起点试点的退出条件应前置：若任一批次出现品质副作用、渠道验收恶化、残留或标签核验无法闭环，或真实收益无法覆盖可归集增量成本，应停止扩大范围，而不是继续按乐观假设放大。</w:t>
            </w:r>
          </w:p>
        </w:tc>
      </w:tr>
    </w:tbl>
    <w:p>
      <w:pPr>
        <w:spacing w:after="0"/>
      </w:pP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cantSplit w:val="1"/>
          <w:tblHeader w:val="1"/>
          <w:jc w:val="center"/>
        </w:trPr>
        <w:tc>
          <w:tcPr>
            <w:tcW w:w="194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收益/成本项</w:t>
            </w:r>
          </w:p>
        </w:tc>
        <w:tc>
          <w:tcPr>
            <w:tcW w:w="403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必须记录的原始量</w:t>
            </w:r>
          </w:p>
        </w:tc>
        <w:tc>
          <w:tcPr>
            <w:tcW w:w="410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复算方式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成熟相关减损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处理组与对照组的报损、折价和问题原因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同批次、同渠道、同温度条件下比较增量变化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可售窗口</w:t>
            </w:r>
          </w:p>
        </w:tc>
        <w:tc>
          <w:tcPr>
            <w:tcW w:w="403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达到企业商品状态门槛的起止日期</w:t>
            </w:r>
          </w:p>
        </w:tc>
        <w:tc>
          <w:tcPr>
            <w:tcW w:w="410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以预先定义门槛计算天数差，不以主观印象替代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销售价值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全价/折价销量、单价、售罄天数、缺货与取消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按实际净收入和可比批次复算；本版基准市场价按13元/斤（26元/kg）折算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退货客诉</w:t>
            </w:r>
          </w:p>
        </w:tc>
        <w:tc>
          <w:tcPr>
            <w:tcW w:w="403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退货量、原因、投诉和赔付</w:t>
            </w:r>
          </w:p>
        </w:tc>
        <w:tc>
          <w:tcPr>
            <w:tcW w:w="410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同时作为收益项和质量风险门槛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处理成本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材料、人工、设备、检测、培训、合规与废弃处置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区分变动、批次固定和一次性成本</w:t>
            </w:r>
          </w:p>
        </w:tc>
      </w:tr>
    </w:tbl>
    <w:p>
      <w:pPr>
        <w:spacing w:after="0"/>
      </w:pPr>
    </w:p>
    <w:p>
      <w:pPr/>
      <w:r>
        <w:br w:type="page"/>
      </w:r>
    </w:p>
    <w:p>
      <w:pPr>
        <w:pStyle w:val="000021"/>
      </w:pPr>
      <w:r>
        <w:rPr>
          <w:rFonts w:hint="eastAsia"/>
        </w:rPr>
        <w:t>8 阶段门与验证路线</w:t>
      </w:r>
    </w:p>
    <w:p>
      <w:pPr/>
      <w:r>
        <w:rPr>
          <w:rFonts w:hint="eastAsia"/>
        </w:rPr>
        <w:t>验证路线按数据可解释、独立复现、冷链转化、合规闭环、运营可控和经济验证六个阶段推进。任何前置阶段未满足，不进入后续商业化决策。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cantSplit w:val="1"/>
          <w:tblHeader w:val="1"/>
          <w:jc w:val="center"/>
        </w:trPr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6"/>
              </w:rPr>
              <w:t>阶段门</w:t>
            </w:r>
          </w:p>
        </w:tc>
        <w:tc>
          <w:tcPr>
            <w:tcW w:w="309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6"/>
              </w:rPr>
              <w:t>核心任务</w:t>
            </w:r>
          </w:p>
        </w:tc>
        <w:tc>
          <w:tcPr>
            <w:tcW w:w="302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6"/>
              </w:rPr>
              <w:t>继续条件</w:t>
            </w:r>
          </w:p>
        </w:tc>
        <w:tc>
          <w:tcPr>
            <w:tcW w:w="244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6"/>
              </w:rPr>
              <w:t>停止条件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6"/>
              </w:rPr>
              <w:t>G0 数据可解释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补齐设计身份、数据主键与版本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条件完整且可追溯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关键条件待确认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6"/>
              </w:rPr>
              <w:t>G1 独立复现</w:t>
            </w:r>
          </w:p>
        </w:tc>
        <w:tc>
          <w:tcPr>
            <w:tcW w:w="309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跨独立采收批次验证主要终点</w:t>
            </w:r>
          </w:p>
        </w:tc>
        <w:tc>
          <w:tcPr>
            <w:tcW w:w="30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方向一致且达到预设效应门槛</w:t>
            </w:r>
          </w:p>
        </w:tc>
        <w:tc>
          <w:tcPr>
            <w:tcW w:w="24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效应反转或严重基线失衡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6"/>
              </w:rPr>
              <w:t>G2 冷链转化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验证温度×处理交互和商品质量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窗口增益可操作且无质量代价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冷链下无效或品质风险恶化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6"/>
              </w:rPr>
              <w:t>G3 合规闭环</w:t>
            </w:r>
          </w:p>
        </w:tc>
        <w:tc>
          <w:tcPr>
            <w:tcW w:w="309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核验产品登记、标签、残留与追溯</w:t>
            </w:r>
          </w:p>
        </w:tc>
        <w:tc>
          <w:tcPr>
            <w:tcW w:w="30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法规和质量书面确认</w:t>
            </w:r>
          </w:p>
        </w:tc>
        <w:tc>
          <w:tcPr>
            <w:tcW w:w="24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前尚无获得合法使用依据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6"/>
              </w:rPr>
              <w:t>G4 运营可控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验证SOP、均一性、设备和异常处置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关键过程受控且记录完整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均一性或追溯难以保证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6"/>
              </w:rPr>
              <w:t>G5 经济验证</w:t>
            </w:r>
          </w:p>
        </w:tc>
        <w:tc>
          <w:tcPr>
            <w:tcW w:w="309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按实际试点复算完整收益成本</w:t>
            </w:r>
          </w:p>
        </w:tc>
        <w:tc>
          <w:tcPr>
            <w:tcW w:w="30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达到企业预设收益门槛且风险不恶化</w:t>
            </w:r>
          </w:p>
        </w:tc>
        <w:tc>
          <w:tcPr>
            <w:tcW w:w="244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6"/>
              </w:rPr>
              <w:t>成本持续高于收益或渠道风险上升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8.1 独立批次试验框架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rPr>
          <w:cantSplit w:val="1"/>
          <w:tblHeader w:val="1"/>
          <w:jc w:val="center"/>
        </w:trPr>
        <w:tc>
          <w:tcPr>
            <w:tcW w:w="216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设计要素</w:t>
            </w:r>
          </w:p>
        </w:tc>
        <w:tc>
          <w:tcPr>
            <w:tcW w:w="792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8"/>
              </w:rPr>
              <w:t>建议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试验单位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以独立采购/采收批次为分层单位；果实重复与批次重复分开编码。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处理设置</w:t>
            </w:r>
          </w:p>
        </w:tc>
        <w:tc>
          <w:tcPr>
            <w:tcW w:w="792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在合法和安全评估允许的研究范围内设置对照及待验证方案；处理参数须在方案中锁定。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主要终点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优先从硬度、可售窗口及成熟相关损失中选择少量主要终点，并预设最小有意义差异。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质量终点</w:t>
            </w:r>
          </w:p>
        </w:tc>
        <w:tc>
          <w:tcPr>
            <w:tcW w:w="792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TSS、总酸、糖酸比、腐烂、失重、感官、运输耐受、退货和投诉。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环境记录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温度、相对湿度、冷链中断、包装、库位、运输时长和乙烯环境。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统计方案</w:t>
            </w:r>
          </w:p>
        </w:tc>
        <w:tc>
          <w:tcPr>
            <w:tcW w:w="792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采用可反映批次和重复结构的模型；报告效应量与区间，并控制多重比较。</w:t>
            </w:r>
          </w:p>
        </w:tc>
      </w:tr>
      <w:tr>
        <w:trPr>
          <w:cantSplit w:val="1"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8"/>
              </w:rPr>
              <w:t>盲法与随机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8"/>
              </w:rPr>
              <w:t>随机分配和编码；测量人员在可行时不知处理组别。</w:t>
            </w:r>
          </w:p>
        </w:tc>
      </w:tr>
    </w:tbl>
    <w:p>
      <w:pPr>
        <w:spacing w:after="0"/>
      </w:pPr>
    </w:p>
    <w:p>
      <w:pPr>
        <w:pStyle w:val="000021"/>
      </w:pPr>
      <w:r>
        <w:rPr>
          <w:rFonts w:hint="eastAsia"/>
        </w:rPr>
        <w:t>9 风险、责任与决策节奏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cantSplit w:val="1"/>
          <w:tblHeader w:val="1"/>
          <w:jc w:val="center"/>
        </w:trPr>
        <w:tc>
          <w:tcPr>
            <w:tcW w:w="230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风险</w:t>
            </w:r>
          </w:p>
        </w:tc>
        <w:tc>
          <w:tcPr>
            <w:tcW w:w="100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等级</w:t>
            </w:r>
          </w:p>
        </w:tc>
        <w:tc>
          <w:tcPr>
            <w:tcW w:w="1656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责任接口</w:t>
            </w:r>
          </w:p>
        </w:tc>
        <w:tc>
          <w:tcPr>
            <w:tcW w:w="511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控制措施</w:t>
            </w:r>
          </w:p>
        </w:tc>
      </w:tr>
      <w:tr>
        <w:trPr>
          <w:cantSplit w:val="1"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试验身份不完整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高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研发/质量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补齐原始方案、样品编码、处理记录和仪器记录；完成前不解释因果。</w:t>
            </w:r>
          </w:p>
        </w:tc>
      </w:tr>
      <w:tr>
        <w:trPr>
          <w:cantSplit w:val="1"/>
          <w:jc w:val="center"/>
        </w:trPr>
        <w:tc>
          <w:tcPr>
            <w:tcW w:w="230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冷链外推失败</w:t>
            </w:r>
          </w:p>
        </w:tc>
        <w:tc>
          <w:tcPr>
            <w:tcW w:w="100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高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冷链/研发</w:t>
            </w:r>
          </w:p>
        </w:tc>
        <w:tc>
          <w:tcPr>
            <w:tcW w:w="511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按温度和中断分层，设置处理×温度交互验证。</w:t>
            </w:r>
          </w:p>
        </w:tc>
      </w:tr>
      <w:tr>
        <w:trPr>
          <w:cantSplit w:val="1"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具体用途不合规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高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法规/质量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以具体产品登记证和核准标签为门槛；未确认前不进入商品化。</w:t>
            </w:r>
          </w:p>
        </w:tc>
      </w:tr>
      <w:tr>
        <w:trPr>
          <w:cantSplit w:val="1"/>
          <w:jc w:val="center"/>
        </w:trPr>
        <w:tc>
          <w:tcPr>
            <w:tcW w:w="230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质量副作用</w:t>
            </w:r>
          </w:p>
        </w:tc>
        <w:tc>
          <w:tcPr>
            <w:tcW w:w="100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高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质量/品类</w:t>
            </w:r>
          </w:p>
        </w:tc>
        <w:tc>
          <w:tcPr>
            <w:tcW w:w="511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设置腐烂、失重、感官、运输和客诉停止条件。</w:t>
            </w:r>
          </w:p>
        </w:tc>
      </w:tr>
      <w:tr>
        <w:trPr>
          <w:cantSplit w:val="1"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成本低估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中高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财务/运营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纳入设备、检测、追溯、废弃和一次性合规成本。</w:t>
            </w:r>
          </w:p>
        </w:tc>
      </w:tr>
      <w:tr>
        <w:trPr>
          <w:cantSplit w:val="1"/>
          <w:jc w:val="center"/>
        </w:trPr>
        <w:tc>
          <w:tcPr>
            <w:tcW w:w="230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台账口径错配</w:t>
            </w:r>
          </w:p>
        </w:tc>
        <w:tc>
          <w:tcPr>
            <w:tcW w:w="100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中高</w:t>
            </w:r>
          </w:p>
        </w:tc>
        <w:tc>
          <w:tcPr>
            <w:tcW w:w="1656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数据/财务</w:t>
            </w:r>
          </w:p>
        </w:tc>
        <w:tc>
          <w:tcPr>
            <w:tcW w:w="511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以批次、日期和覆盖范围对账；禁止把库存与销售样例当同一总体。</w:t>
            </w:r>
          </w:p>
        </w:tc>
      </w:tr>
      <w:tr>
        <w:trPr>
          <w:cantSplit w:val="1"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品种与成熟度异质性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中高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采购/研发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按品种、产区、采收成熟度和供应商分层验证。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9.1 责任分工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cantSplit w:val="1"/>
          <w:tblHeader w:val="1"/>
          <w:jc w:val="center"/>
        </w:trPr>
        <w:tc>
          <w:tcPr>
            <w:tcW w:w="18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角色</w:t>
            </w:r>
          </w:p>
        </w:tc>
        <w:tc>
          <w:tcPr>
            <w:tcW w:w="4392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主要责任</w:t>
            </w:r>
          </w:p>
        </w:tc>
        <w:tc>
          <w:tcPr>
            <w:tcW w:w="3888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7"/>
              </w:rPr>
              <w:t>关键输出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研发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试验设计、终点、样本身份、统计方案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锁定方案、原始记录、分析结果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质量</w:t>
            </w:r>
          </w:p>
        </w:tc>
        <w:tc>
          <w:tcPr>
            <w:tcW w:w="439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样品、仪器、盲评、残留和放行门槛</w:t>
            </w:r>
          </w:p>
        </w:tc>
        <w:tc>
          <w:tcPr>
            <w:tcW w:w="38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质量计划、偏差记录、放行判断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法规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产品登记、标签、用途和市场要求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书面合规意见与限制条件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冷链/运营</w:t>
            </w:r>
          </w:p>
        </w:tc>
        <w:tc>
          <w:tcPr>
            <w:tcW w:w="439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SOP、设备、温控、追溯与异常处置</w:t>
            </w:r>
          </w:p>
        </w:tc>
        <w:tc>
          <w:tcPr>
            <w:tcW w:w="38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试点执行记录与成本清单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品类经营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渠道、价格、可售窗口和损失收益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商业基线与试点收益复算</w:t>
            </w:r>
          </w:p>
        </w:tc>
      </w:tr>
      <w:tr>
        <w:trPr>
          <w:cantSplit w:val="1"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7"/>
              </w:rPr>
              <w:t>财务/数据</w:t>
            </w:r>
          </w:p>
        </w:tc>
        <w:tc>
          <w:tcPr>
            <w:tcW w:w="4392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口径、对账、成本和版本控制</w:t>
            </w:r>
          </w:p>
        </w:tc>
        <w:tc>
          <w:tcPr>
            <w:tcW w:w="3888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7"/>
              </w:rPr>
              <w:t>可复算底稿与决策看板</w:t>
            </w:r>
          </w:p>
        </w:tc>
      </w:tr>
    </w:tbl>
    <w:p>
      <w:pPr>
        <w:spacing w:after="0"/>
      </w:pPr>
    </w:p>
    <w:p>
      <w:pPr>
        <w:pStyle w:val="000023"/>
      </w:pPr>
      <w:r>
        <w:rPr>
          <w:rFonts w:hint="eastAsia"/>
        </w:rPr>
        <w:t>9.2 决策节奏</w:t>
      </w:r>
    </w:p>
    <w:p>
      <w:pPr>
        <w:pStyle w:val="000017"/>
        <w:ind w:left="346" w:hanging="230"/>
      </w:pPr>
      <w:r>
        <w:rPr>
          <w:rFonts w:hint="eastAsia"/>
        </w:rPr>
        <w:t>每个阶段门只回答一个核心问题，并保存证据、结论、责任人和未决事项。</w:t>
      </w:r>
    </w:p>
    <w:p>
      <w:pPr>
        <w:pStyle w:val="000017"/>
        <w:ind w:left="346" w:hanging="230"/>
      </w:pPr>
      <w:r>
        <w:rPr>
          <w:rFonts w:hint="eastAsia"/>
        </w:rPr>
        <w:t>发生试验设计变更、输入数据更新或合规状态变化时，重新计算经营场景并更新决策。</w:t>
      </w:r>
    </w:p>
    <w:p>
      <w:pPr>
        <w:pStyle w:val="000017"/>
        <w:ind w:left="346" w:hanging="230"/>
      </w:pPr>
      <w:r>
        <w:rPr>
          <w:rFonts w:hint="eastAsia"/>
        </w:rPr>
        <w:t>只有G0—G4全部通过，才以真实试点数据进入G5经济验证。</w:t>
      </w:r>
    </w:p>
    <w:p>
      <w:pPr>
        <w:pStyle w:val="000017"/>
        <w:ind w:left="346" w:hanging="230"/>
      </w:pPr>
      <w:r>
        <w:rPr>
          <w:rFonts w:hint="eastAsia"/>
        </w:rPr>
        <w:t>最终决策应同时满足效果、质量、合规、运营和经济五项条件，不以单一显著性或单篇论文替代。</w:t>
      </w:r>
    </w:p>
    <w:p>
      <w:pPr/>
      <w:r>
        <w:br w:type="page"/>
      </w:r>
    </w:p>
    <w:p>
      <w:pPr>
        <w:pStyle w:val="000021"/>
      </w:pPr>
      <w:r>
        <w:rPr>
          <w:rFonts w:hint="eastAsia"/>
        </w:rPr>
        <w:t>10 综合决策</w:t>
      </w:r>
    </w:p>
    <w:tbl>
      <w:tblPr>
        <w:tblStyle w:val="0000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208"/>
      </w:tblGrid>
      <w:tr>
        <w:trPr>
          <w:jc w:val="center"/>
        </w:trPr>
        <w:tc>
          <w:tcPr>
            <w:tcW w:w="4680" w:type="dxa"/>
            <w:shd w:val="clear" w:color="auto" w:fill="BF9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20"/>
              </w:rPr>
              <w:t>当前状态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HOLD：暂缓商业化；允许在完成试验身份与法规预核后进入受控验证。</w:t>
            </w:r>
          </w:p>
        </w:tc>
      </w:tr>
    </w:tbl>
    <w:p>
      <w:pPr>
        <w:spacing w:after="0"/>
      </w:pP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rPr>
          <w:cantSplit w:val="1"/>
          <w:tblHeader w:val="1"/>
          <w:jc w:val="center"/>
        </w:trPr>
        <w:tc>
          <w:tcPr>
            <w:tcW w:w="324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9"/>
              </w:rPr>
              <w:t>决策问题</w:t>
            </w:r>
          </w:p>
        </w:tc>
        <w:tc>
          <w:tcPr>
            <w:tcW w:w="684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9"/>
              </w:rPr>
              <w:t>回答</w:t>
            </w:r>
          </w:p>
        </w:tc>
      </w:tr>
      <w:tr>
        <w:trPr>
          <w:cantSplit w:val="1"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是否有继续研究价值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有。多指标轨迹与外部GA证据方向一致，值得独立复现。</w:t>
            </w:r>
          </w:p>
        </w:tc>
      </w:tr>
      <w:tr>
        <w:trPr>
          <w:cantSplit w:val="1"/>
          <w:jc w:val="center"/>
        </w:trPr>
        <w:tc>
          <w:tcPr>
            <w:tcW w:w="32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是否可宣称机制已证实</w:t>
            </w:r>
          </w:p>
        </w:tc>
        <w:tc>
          <w:tcPr>
            <w:tcW w:w="68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不可。现有材料未覆盖基因、酶活、激素谱和因果验证。</w:t>
            </w:r>
          </w:p>
        </w:tc>
      </w:tr>
      <w:tr>
        <w:trPr>
          <w:cantSplit w:val="1"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是否可直接在冷链商品中应用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不可。冷链转化、具体产品合法用途、残留、质量副作用和运营控制均未闭环。</w:t>
            </w:r>
          </w:p>
        </w:tc>
      </w:tr>
      <w:tr>
        <w:trPr>
          <w:cantSplit w:val="1"/>
          <w:jc w:val="center"/>
        </w:trPr>
        <w:tc>
          <w:tcPr>
            <w:tcW w:w="32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是否已证明经济性</w:t>
            </w:r>
          </w:p>
        </w:tc>
        <w:tc>
          <w:tcPr>
            <w:tcW w:w="68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未证明。现有三情景净价值均为负，收益假设尚需真实试点替换。</w:t>
            </w:r>
          </w:p>
        </w:tc>
      </w:tr>
      <w:tr>
        <w:trPr>
          <w:cantSplit w:val="1"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1"/>
                <w:color w:val="1F1F1F"/>
                <w:sz w:val="19"/>
              </w:rPr>
              <w:t>下一次决策触发条件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9"/>
              </w:rPr>
              <w:t>G0数据可解释、G1独立复现和G3合规预核完成后，评审是否以低起点进入冷链受控试点；试点通过后再进入运营可控和经济验证。</w:t>
            </w:r>
          </w:p>
        </w:tc>
      </w:tr>
    </w:tbl>
    <w:p>
      <w:pPr>
        <w:spacing w:after="0"/>
      </w:pPr>
    </w:p>
    <w:p>
      <w:pPr/>
      <w:r>
        <w:rPr>
          <w:rFonts w:hint="eastAsia"/>
        </w:rPr>
        <w:t>建议以测算底稿作为唯一数值版本，报告用于解释结论与决策边界。后续新增材料先进入原始数据和证据台账，再更新统计、场景与阶段门状态。</w:t>
      </w:r>
    </w:p>
    <w:p>
      <w:pPr/>
      <w:r>
        <w:br w:type="page"/>
      </w:r>
    </w:p>
    <w:p>
      <w:pPr>
        <w:pStyle w:val="000021"/>
      </w:pPr>
      <w:r>
        <w:rPr>
          <w:rFonts w:hint="eastAsia"/>
        </w:rPr>
        <w:t>附录A 试验统计摘要</w:t>
      </w:r>
    </w:p>
    <w:tbl>
      <w:tblPr>
        <w:tblStyle w:val="00004a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  <w:tblHeader w:val="1"/>
          <w:jc w:val="center"/>
        </w:trPr>
        <w:tc>
          <w:tcPr>
            <w:tcW w:w="194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5"/>
              </w:rPr>
              <w:t>指标</w:t>
            </w:r>
          </w:p>
        </w:tc>
        <w:tc>
          <w:tcPr>
            <w:tcW w:w="108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5"/>
              </w:rPr>
              <w:t>时间(d)</w:t>
            </w:r>
          </w:p>
        </w:tc>
        <w:tc>
          <w:tcPr>
            <w:tcW w:w="144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5"/>
              </w:rPr>
              <w:t>CK均值</w:t>
            </w:r>
          </w:p>
        </w:tc>
        <w:tc>
          <w:tcPr>
            <w:tcW w:w="122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1"/>
                <w:color w:val="FFFFFF"/>
                <w:sz w:val="15"/>
              </w:rPr>
              <w:t>CK SD</w:t>
            </w:r>
          </w:p>
        </w:tc>
        <w:tc>
          <w:tcPr>
            <w:tcW w:w="144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5"/>
              </w:rPr>
              <w:t>GA₃均值</w:t>
            </w:r>
          </w:p>
        </w:tc>
        <w:tc>
          <w:tcPr>
            <w:tcW w:w="1224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1"/>
                <w:color w:val="FFFFFF"/>
                <w:sz w:val="15"/>
              </w:rPr>
              <w:t>GA₃ SD</w:t>
            </w:r>
          </w:p>
        </w:tc>
        <w:tc>
          <w:tcPr>
            <w:tcW w:w="144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微软雅黑"/>
                <w:b w:val="1"/>
                <w:color w:val="FFFFFF"/>
                <w:sz w:val="15"/>
              </w:rPr>
              <w:t>差值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硬度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84.167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0.351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84.000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-0.167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硬度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7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60.000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1.803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75.000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1.500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15.000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硬度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35.000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60.000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1.803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25.000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硬度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21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15.000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1.323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40.000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1.732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25.000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硬度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3.000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0.436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16.000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1.323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13.000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可溶性固形物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6.000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6.000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可溶性固形物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7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8.500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0.173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7.500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-1.000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可溶性固形物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14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11.000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0.173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9.000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0.173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-2.000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可溶性固形物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13.500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10.500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-3.000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可溶性固形物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28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15.000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12.000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-3.000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总酸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总酸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7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1.150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0.150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总酸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0.850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1.100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0.250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总酸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21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0.700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1.050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0.350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总酸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0.600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0.400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乙烯释放速率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乙烯释放速率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7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-0.500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乙烯释放速率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14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0.033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0.058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-0.967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乙烯释放速率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8.000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0.200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0.133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0.058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-7.867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乙烯释放速率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28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14.000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0.200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0.100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-13.500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淀粉含量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65.000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65.000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淀粉含量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7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30.000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36.000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6.000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淀粉含量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18.000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30.000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12.000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淀粉含量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21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9.000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24.000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15.000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淀粉含量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5.000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0.200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18.000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0.500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13.000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抗坏血酸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0.580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0.603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0.006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0.023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抗坏血酸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7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0.780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0.810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0.030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抗坏血酸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14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0.850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0.880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0.030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抗坏血酸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0.680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0.710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0.030</w:t>
            </w:r>
          </w:p>
        </w:tc>
      </w:tr>
      <w:tr>
        <w:trPr>
          <w:cantSplit w:val="1"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hint="eastAsia" w:ascii="Calibri" w:hAnsi="Calibri" w:eastAsia="微软雅黑"/>
                <w:b w:val="0"/>
                <w:color w:val="1F1F1F"/>
                <w:sz w:val="15"/>
              </w:rPr>
              <w:t>抗坏血酸</w:t>
            </w:r>
          </w:p>
        </w:tc>
        <w:tc>
          <w:tcPr>
            <w:tcW w:w="108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28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0.480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0.510</w:t>
            </w:r>
          </w:p>
        </w:tc>
        <w:tc>
          <w:tcPr>
            <w:tcW w:w="1224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0.010</w:t>
            </w:r>
          </w:p>
        </w:tc>
        <w:tc>
          <w:tcPr>
            <w:tcW w:w="1440" w:type="dxa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/>
            <w:r>
              <w:rPr>
                <w:rFonts w:ascii="Calibri" w:hAnsi="Calibri" w:eastAsia="微软雅黑"/>
                <w:b w:val="0"/>
                <w:color w:val="1F1F1F"/>
                <w:sz w:val="15"/>
              </w:rPr>
              <w:t>0.030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hint="eastAsia" w:ascii="Calibri" w:hAnsi="Calibri" w:eastAsia="微软雅黑"/>
          <w:color w:val="666666"/>
          <w:sz w:val="15"/>
        </w:rPr>
        <w:t>资料来源：六项原始工作簿；每组每时间点3条记录。</w:t>
      </w:r>
    </w:p>
    <w:p>
      <w:pPr/>
      <w:r>
        <w:br w:type="page"/>
      </w:r>
    </w:p>
    <w:p>
      <w:pPr>
        <w:pStyle w:val="000021"/>
      </w:pPr>
      <w:r>
        <w:rPr>
          <w:rFonts w:hint="eastAsia"/>
        </w:rPr>
        <w:t>参考文献</w:t>
      </w:r>
    </w:p>
    <w:p>
      <w:r>
        <w:t>[1] MacRae E A, Lallu N, Searle A N, Bowen J H. Changes in the softening and composition of kiwifruit affected by maturity at harvest and postharvest treatments[J]. Journal of the Science of Food and Agriculture, 1989, 49(4): 413-430. DOI: 10.1002/jsfa.2740490404.</w:t>
      </w:r>
    </w:p>
    <w:p>
      <w:r>
        <w:t>[2] Redgwell R J, Melton L D, Brasch D J. Cell Wall Dissolution in Ripening Kiwifruit[J]. Plant Physiology, 1992, 98(1): 71-79. DOI: 10.1104/pp.98.1.71.</w:t>
      </w:r>
    </w:p>
    <w:p>
      <w:r>
        <w:t>[3] Atkinson R G, Bolitho K M, Wright M A, et al. Dissecting the role of climacteric ethylene in kiwifruit ripening using an ACC oxidase knockdown line[J]. Journal of Experimental Botany, 2011, 62(13): 4611-4625. DOI: 10.1093/jxb/err063.</w:t>
      </w:r>
    </w:p>
    <w:p>
      <w:r>
        <w:t>[4] Mworia E G, Yoshikawa T, Salikon N, et al. Low-temperature-modulated fruit ripening is independent of ethylene in Sanuki Gold kiwifruit[J]. Journal of Experimental Botany, 2012, 63(1): 345-355. DOI: 10.1093/jxb/err324.</w:t>
      </w:r>
    </w:p>
    <w:p>
      <w:r>
        <w:t>[5] Hu X, Kuang S, Zhang A D, et al. Characterization of Starch Degradation Related Genes in Postharvest Kiwifruit[J]. International Journal of Molecular Sciences, 2016, 17(12): 2112. DOI: 10.3390/ijms17122112.</w:t>
      </w:r>
    </w:p>
    <w:p>
      <w:r>
        <w:t>[6] Mack C, Wefers D, Schuster P, et al. Untargeted multi-platform analysis of the metabolome and the non-starch polysaccharides of kiwifruit during postharvest ripening[J]. Postharvest Biology and Technology, 2017, 127: 44-52. DOI: 10.1016/j.postharvbio.2016.10.011.</w:t>
      </w:r>
    </w:p>
    <w:p>
      <w:r>
        <w:t>[7] Zhang A D, Wang W Q, Tong Y, et al. Transcriptome Analysis Identifies a Zinc Finger Protein Regulating Starch Degradation in Kiwifruit[J]. Plant Physiology, 2018, 176(3): 2035-2048. DOI: 10.1104/pp.18.00427.</w:t>
      </w:r>
    </w:p>
    <w:p>
      <w:r>
        <w:t>[8] Mitalo O W, Tokiwa S, Kondo Y, et al. Low Temperature Storage Stimulates Fruit Softening and Sugar Accumulation Without Ethylene and Aroma Volatile Production in Kiwifruit[J]. Frontiers in Plant Science, 2019, 10: 888. DOI: 10.3389/fpls.2019.00888.</w:t>
      </w:r>
    </w:p>
    <w:p>
      <w:r>
        <w:t>[9] Fullerton C G, Prakash R, Ninan A S, et al. Fruit From Two Kiwifruit Genotypes With Contrasting Softening Rates Show Differences in the Cell Wall Domains[J]. Frontiers in Plant Science, 2020, 11: 964. DOI: 10.3389/fpls.2020.00964.</w:t>
      </w:r>
    </w:p>
    <w:p>
      <w:r>
        <w:t>[10] Goldberg T, Agra H, Ben-Arie R. Quality of Hayward Kiwifruit in Prolonged Cold Storage as Affected by the Stage of Maturity at Harvest[J]. Horticulturae, 2021, 7(10): 358. DOI: 10.3390/horticulturae7100358.</w:t>
      </w:r>
    </w:p>
    <w:p>
      <w:r>
        <w:t>[11] Mao J P, Gao Z, Lin M F, et al. Targeted multi-platform metabolome analysis and enzyme activity analysis of kiwifruit during postharvest ripening[J]. Frontiers in Plant Science, 2023, 14: 1120166. DOI: 10.3389/fpls.2023.1120166.</w:t>
      </w:r>
    </w:p>
    <w:p>
      <w:r>
        <w:t>[12] Yang H Y, Li J Z, Li X H, et al. The mechanism of gibberellins treatment suppressing kiwifruit postharvest ripening processes by transcriptome analysis[J]. Postharvest Biology and Technology, 2023, 198: 112223. DOI: 10.1016/j.postharvbio.2022.112223.</w:t>
      </w:r>
    </w:p>
    <w:p>
      <w:r>
        <w:t>[13] Zhang J Y, Cao Y H, Tang J, et al. Physiology and Application of Gibberellins in Postharvest Horticultural Crops[J]. Horticulturae, 2023, 9(6): 625. DOI: 10.3390/horticulturae9060625.</w:t>
      </w:r>
    </w:p>
    <w:p>
      <w:r>
        <w:t>[14] Guan W H, Cao M Z, Chen W, et al. Indole-3-acetic acid treatment promotes postharvest kiwifruit softening by regulating starch and cell wall metabolism[J]. Frontiers in Plant Science, 2024, 15: 1485678. DOI: 10.3389/fpls.2024.1485678.</w:t>
      </w:r>
    </w:p>
    <w:p>
      <w:r>
        <w:t>[15] Lin M F, Gao Z, Wang X L, et al. Identification of two postharvest ripening regulatory models in kiwifruit[J]. BMC Plant Biology, 2024, 24: 5817. DOI: 10.1186/s12870-024-05817-8.</w:t>
      </w:r>
    </w:p>
    <w:p>
      <w:r>
        <w:t>[16] Zhang X L, Zhao K X, Wang W Y, et al. Gibberellin delays kiwifruit postharvest ripening via the AcDELLA gene family[J]. Plant Phenomics, 2025, 7: 0005. DOI: 10.48130/ph-0025-0005.</w:t>
      </w:r>
    </w:p>
    <w:p>
      <w:r>
        <w:rPr>
          <w:rFonts w:hint="eastAsia"/>
        </w:rPr>
        <w:t>[17] 国家林业局. 猕猴桃贮藏技术规程: LY/T 1841-2009[S]. 北京: 中国标准出版社, 2009.（已废止）</w:t>
      </w:r>
    </w:p>
    <w:p>
      <w:r>
        <w:rPr>
          <w:rFonts w:hint="eastAsia"/>
        </w:rPr>
        <w:t>[18] 贵州省市场监督管理局. 贵州猕猴桃 第17部分：贵长猕猴桃贮藏保鲜技术规程: DB52/T 1503.17-2020[S]. 贵阳: 贵州省市场监督管理局, 2020.（地方标准，需按使用地、品种和现行状态复核）</w:t>
      </w:r>
    </w:p>
    <w:p>
      <w:r>
        <w:rPr>
          <w:rFonts w:hint="eastAsia"/>
        </w:rPr>
        <w:t>[19] 国务院. 农药管理条例: 国务院令第677号[Z]. 北京: 国务院, 2017.</w:t>
      </w:r>
    </w:p>
    <w:p>
      <w:r>
        <w:rPr>
          <w:rFonts w:hint="eastAsia"/>
        </w:rPr>
        <w:t>[20] 农业农村部. 农药登记管理办法: 农业部令2017年第3号公布，农业农村部令2025年第3号修订[Z]. 北京: 农业农村部, 2025.</w:t>
      </w:r>
    </w:p>
    <w:p>
      <w:r>
        <w:t>[21] 农业部. 农药标签和说明书管理办法: 农业部令2017年第7号[Z]. 北京: 农业部, 2017.</w:t>
      </w:r>
    </w:p>
    <w:p>
      <w:r>
        <w:t>[22] US EPA. Certain plant regulators: cytokinins, auxins, gibberellins, ethylene, and pelargonic acid; tolerance exemptions[Z]. Washington, DC: US EPA, 1999. PC code 043801.（境外监管背景，不作为中国市场准入依据）</w:t>
      </w:r>
    </w:p>
    <w:p>
      <w:pPr>
        <w:spacing w:after="0"/>
      </w:pPr>
      <w:r>
        <w:t>[23] European Commission. Commission Regulation EU No 588/2014 concerning maximum residue levels[Z]. Brussels: European Commission, 2014. CELEX 32014R0588.（境外MRL历史背景，出口业务需另核目标市场现行要求）</w:t>
      </w:r>
    </w:p>
    <w:p>
      <w:pPr>
        <w:spacing w:before="40" w:after="120"/>
      </w:pPr>
      <w:r>
        <w:t xml:space="preserve">参考文献编号已按证据台账顺序梳理；其中[17]为已废止行业标准、[18]为地方标准，[22]—[23]仅作为境外监管背景，均不作为中国商品化施用的直接合规依据。</w:t>
      </w:r>
    </w:p>
    <w:p>
      <w:pPr>
        <w:spacing w:before="40" w:after="120"/>
      </w:pPr>
      <w:r>
        <w:rPr>
          <w:rFonts w:hint="eastAsia" w:ascii="Calibri" w:hAnsi="Calibri" w:eastAsia="微软雅黑"/>
          <w:color w:val="666666"/>
          <w:sz w:val="15"/>
        </w:rPr>
        <w:t>资料来源：公开科研论文、标准公开查询入口、农业农村部及相关监管公开资料；具体来源、年份、来源入口、检索日期、用途和适用边界见测算底稿“证据台账”。</w:t>
      </w:r>
    </w:p>
    <w:p>
      <w:pPr>
        <w:pStyle w:val="Heading1"/>
      </w:pPr>
      <w:r>
        <w:t>附录：补充风险提示与判读口径增强</w:t>
      </w:r>
    </w:p>
    <w:p>
      <w:pPr/>
      <w:r>
        <w:t>本附录用于强化管理评审时容易遗漏的反向风险、统计解释边界和经营闭环要求，不改变正文“暂缓商业应用、进入受控验证”的主结论。</w:t>
      </w:r>
    </w:p>
    <w:p>
      <w:pPr/>
      <w:r>
        <w:t>1. 反向业务风险：现有销售流水中“偏硬”客诉同样需要作为停止条件。GA₃处理若只延缓软化而未形成适食度管理，可能把损失结构从过熟软烂转移为偏硬未熟。因此下一阶段不能只追踪硬度保持，还应同步追踪偏硬客诉率、适食成熟比例、渠道验收和复购反馈。</w:t>
      </w:r>
    </w:p>
    <w:p>
      <w:pPr/>
      <w:r>
        <w:t>2. 统计解释边界：均值、样本标准差、Welch 检验和多重比较只能支持方向性与效应量判断，不能替代独立批次复现。p 值不应单独作为继续或扩大范围的依据，必须与时间轨迹、效应方向、质量副作用和冷链场景表现共同判断。</w:t>
      </w:r>
    </w:p>
    <w:p>
      <w:pPr/>
      <w:r>
        <w:t>3. 冷链外推边界：20℃小试中的乙烯抑制不能直接等同于0–5℃冷链和门店货架的可售窗口延长。公开证据提示低温条件下可能存在乙烯非依赖软化路径，下一阶段需设置温度×处理交互验证，并把冷链中断、货架温度和渠道端动销共同纳入。</w:t>
      </w:r>
    </w:p>
    <w:p>
      <w:pPr/>
      <w:r>
        <w:t>4. 经营价值来源：项目价值不应被写成已经实现的处理效果。成熟相关减损、折价回收、退货回收和可售窗口延长均属于待验证收益池；在三情景净价值仍为负时，只能用小规模、低起点、可退出的受控验证替代全量推广。</w:t>
      </w:r>
    </w:p>
    <w:p>
      <w:pPr/>
      <w:r>
        <w:t>5. 合规与沟通边界：在具体产品登记证、核准标签、残留控制和属地监管核验完成前，报告、销售沟通和渠道培训均不得形成商业施用方法、效果承诺或对外宣传口径。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pPr/>
            <w:r>
              <w:t>增强点</w:t>
            </w:r>
          </w:p>
        </w:tc>
        <w:tc>
          <w:tcPr>
            <w:tcW w:w="2400" w:type="dxa"/>
          </w:tcPr>
          <w:p>
            <w:pPr/>
            <w:r>
              <w:t>对应管理问题</w:t>
            </w:r>
          </w:p>
        </w:tc>
        <w:tc>
          <w:tcPr>
            <w:tcW w:w="2400" w:type="dxa"/>
          </w:tcPr>
          <w:p>
            <w:pPr/>
            <w:r>
              <w:t>进入下一阶段的控制方式</w:t>
            </w:r>
          </w:p>
        </w:tc>
      </w:tr>
      <w:tr>
        <w:tc>
          <w:tcPr>
            <w:tcW w:w="2400" w:type="dxa"/>
          </w:tcPr>
          <w:p>
            <w:pPr/>
            <w:r>
              <w:t>偏硬客诉风险</w:t>
            </w:r>
          </w:p>
        </w:tc>
        <w:tc>
          <w:tcPr>
            <w:tcW w:w="2400" w:type="dxa"/>
          </w:tcPr>
          <w:p>
            <w:pPr/>
            <w:r>
              <w:t>延熟可能造成适食度延后</w:t>
            </w:r>
          </w:p>
        </w:tc>
        <w:tc>
          <w:tcPr>
            <w:tcW w:w="2400" w:type="dxa"/>
          </w:tcPr>
          <w:p>
            <w:pPr/>
            <w:r>
              <w:t>设置偏硬客诉率、适食成熟比例和渠道验收停止条件</w:t>
            </w:r>
          </w:p>
        </w:tc>
      </w:tr>
      <w:tr>
        <w:tc>
          <w:tcPr>
            <w:tcW w:w="2400" w:type="dxa"/>
          </w:tcPr>
          <w:p>
            <w:pPr/>
            <w:r>
              <w:t>统计解释边界</w:t>
            </w:r>
          </w:p>
        </w:tc>
        <w:tc>
          <w:tcPr>
            <w:tcW w:w="2400" w:type="dxa"/>
          </w:tcPr>
          <w:p>
            <w:pPr/>
            <w:r>
              <w:t>p值或单批小试被过度解释</w:t>
            </w:r>
          </w:p>
        </w:tc>
        <w:tc>
          <w:tcPr>
            <w:tcW w:w="2400" w:type="dxa"/>
          </w:tcPr>
          <w:p>
            <w:pPr/>
            <w:r>
              <w:t>预设主要终点、效应量阈值和独立批次复现</w:t>
            </w:r>
          </w:p>
        </w:tc>
      </w:tr>
      <w:tr>
        <w:tc>
          <w:tcPr>
            <w:tcW w:w="2400" w:type="dxa"/>
          </w:tcPr>
          <w:p>
            <w:pPr/>
            <w:r>
              <w:t>低温乙烯非依赖路径</w:t>
            </w:r>
          </w:p>
        </w:tc>
        <w:tc>
          <w:tcPr>
            <w:tcW w:w="2400" w:type="dxa"/>
          </w:tcPr>
          <w:p>
            <w:pPr/>
            <w:r>
              <w:t>常温结果被误外推至冷链</w:t>
            </w:r>
          </w:p>
        </w:tc>
        <w:tc>
          <w:tcPr>
            <w:tcW w:w="2400" w:type="dxa"/>
          </w:tcPr>
          <w:p>
            <w:pPr/>
            <w:r>
              <w:t>开展温度×处理交互试验并记录冷链异常</w:t>
            </w:r>
          </w:p>
        </w:tc>
      </w:tr>
      <w:tr>
        <w:tc>
          <w:tcPr>
            <w:tcW w:w="2400" w:type="dxa"/>
          </w:tcPr>
          <w:p>
            <w:pPr/>
            <w:r>
              <w:t>收益池未验证</w:t>
            </w:r>
          </w:p>
        </w:tc>
        <w:tc>
          <w:tcPr>
            <w:tcW w:w="2400" w:type="dxa"/>
          </w:tcPr>
          <w:p>
            <w:pPr/>
            <w:r>
              <w:t>情景假设被写成已实现收益</w:t>
            </w:r>
          </w:p>
        </w:tc>
        <w:tc>
          <w:tcPr>
            <w:tcW w:w="2400" w:type="dxa"/>
          </w:tcPr>
          <w:p>
            <w:pPr/>
            <w:r>
              <w:t>用试点回收折价、退货、动销和成本实测值</w:t>
            </w:r>
          </w:p>
        </w:tc>
      </w:tr>
      <w:tr>
        <w:tc>
          <w:tcPr>
            <w:tcW w:w="2400" w:type="dxa"/>
          </w:tcPr>
          <w:p>
            <w:pPr/>
            <w:r>
              <w:t>商品化合规边界</w:t>
            </w:r>
          </w:p>
        </w:tc>
        <w:tc>
          <w:tcPr>
            <w:tcW w:w="2400" w:type="dxa"/>
          </w:tcPr>
          <w:p>
            <w:pPr/>
            <w:r>
              <w:t>研发验证被误读为商业方案</w:t>
            </w:r>
          </w:p>
        </w:tc>
        <w:tc>
          <w:tcPr>
            <w:tcW w:w="2400" w:type="dxa"/>
          </w:tcPr>
          <w:p>
            <w:pPr/>
            <w:r>
              <w:t>法规/质量书面确认前不得对外承诺或推广</w:t>
            </w:r>
          </w:p>
        </w:tc>
      </w:tr>
    </w:tbl>
    <w:sectPr>
      <w:headerReference ns4:id="rId7" w:type="default"/>
      <w:footerReference ns4:id="rId8" w:type="default"/>
      <w:pgSz w:w="12240" w:h="15840"/>
      <w:pgMar w:top="1440" w:right="1440" w:bottom="1440" w:left="1440" w:header="708" w:footer="708" w:gutter="0"/>
      <w:cols w:space="720" w:num="1"/>
      <w:titlePg w:val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</w:pPr>
      <w:r>
        <w:continuationSeparator/>
      </w:r>
    </w:p>
  </w:endnote>
  <w:endnote w:type="separator" w:id="0">
    <w:p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ＭＳ ゴシック">
    <w:altName w:val="Hiragino Sans"/>
    <w:panose1 w:val="00000000000000000000"/>
    <w:charset w:val="80" w:characterSet="ISO-8859-1"/>
    <w:family w:val="modern"/>
    <w:pitch w:val="default"/>
    <w:sig w:usb0="00000000" w:usb1="00000000" w:usb2="00000010" w:usb3="00000000" w:csb0="00020000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苹方-简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微软雅黑">
    <w:altName w:val="方正雅意黑 GB18030L2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苹方-简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 w:characterSet="ISO-8859-1"/>
    <w:family w:val="auto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方正雅意黑 GB18030L2">
    <w:panose1 w:val="02000500000000000000"/>
    <w:charset w:val="86" w:characterSet="ISO-8859-1"/>
    <w:family w:val="auto"/>
    <w:pitch w:val="default"/>
    <w:sig w:usb0="E00002FF" w:usb1="38CFFCFB" w:usb2="00000016" w:usb3="00000000" w:csb0="6004019F" w:csb1="DFD70000"/>
  </w:font>
  <w:font w:name="ＭＳ 明朝">
    <w:altName w:val="Hiragino Sans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 w:characterSet="ISO-8859-1"/>
    <w:family w:val="auto"/>
    <w:pitch w:val="default"/>
    <w:sig w:usb0="E00002FF" w:usb1="7AE7FFFF" w:usb2="00000012" w:usb3="00000000" w:csb0="0002000D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000005"/>
      <w:jc w:val="center"/>
    </w:pPr>
    <w:r>
      <w:rPr>
        <w:rFonts w:hint="eastAsia" w:ascii="Calibri" w:hAnsi="Calibri" w:eastAsia="微软雅黑"/>
        <w:color w:val="666666"/>
        <w:sz w:val="16"/>
      </w:rPr>
      <w:t xml:space="preserve">内部决策资料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="http://schemas.openxmlformats.org/wordprocessingml/2006/main">
  <w:footnote w:type="continuationSeparator" w:id="1">
    <w:p>
      <w:pPr>
        <w:spacing w:before="0" w:after="0" w:line="264" w:lineRule="auto"/>
      </w:pPr>
      <w:r>
        <w:continuationSeparator/>
      </w:r>
    </w:p>
  </w:footnote>
  <w:footnote w:type="separator" w:id="0">
    <w:p>
      <w:pPr>
        <w:spacing w:before="0" w:after="0" w:line="264" w:lineRule="auto"/>
      </w:pPr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07"/>
      <w:jc w:val="right"/>
    </w:pPr>
    <w:r>
      <w:rPr>
        <w:rFonts w:hint="eastAsia" w:ascii="Calibri" w:hAnsi="Calibri" w:eastAsia="微软雅黑"/>
        <w:color w:val="666666"/>
        <w:sz w:val="16"/>
      </w:rPr>
      <w:t>猕猴桃采后验证与供应链应用评估</w:t>
    </w:r>
  </w:p>
</w:hd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FFFFFF88"/>
    <w:lvl w:ilvl="0" w:tentative="0">
      <w:start w:val="1"/>
      <w:numFmt w:val="decimal"/>
      <w:pStyle w:val="0000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00000d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0000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00001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00001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00000f"/>
      <w:lvlText w:val="%1."/>
      <w:lvlJc w:val="left"/>
      <w:pPr>
        <w:tabs>
          <w:tab w:val="left" w:pos="720"/>
        </w:tabs>
        <w:ind w:left="720" w:hanging="360"/>
      </w:pPr>
    </w:lvl>
  </w:abstractNum>
  <w:num w:numId="6">
    <w:abstractNumId w:val="0"/>
  </w:num>
  <w:num w:numId="4">
    <w:abstractNumId w:val="2"/>
  </w:num>
  <w:num w:numId="5">
    <w:abstractNumId w:val="3"/>
  </w:num>
  <w:num w:numId="1">
    <w:abstractNumId w:val="5"/>
  </w:num>
  <w:num w:numId="3">
    <w:abstractNumId w:val="4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6F76685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TML Acronym" w:uiPriority="99"/>
    <w:lsdException w:name="Colorful List" w:uiPriority="72" w:semiHidden="0" w:unhideWhenUsed="0"/>
    <w:lsdException w:name="Light Grid" w:uiPriority="62" w:semiHidden="0" w:unhideWhenUsed="0"/>
    <w:lsdException w:name="Table Web 3" w:uiPriority="99"/>
    <w:lsdException w:name="Table Columns 3" w:uiPriority="99"/>
    <w:lsdException w:name="Colorful Shading Accent 4" w:uiPriority="71" w:semiHidden="0" w:unhideWhenUsed="0"/>
    <w:lsdException w:name="Date" w:uiPriority="99"/>
    <w:lsdException w:name="table of authorities" w:uiPriority="99"/>
    <w:lsdException w:name="Table Classic 2" w:uiPriority="99"/>
    <w:lsdException w:name="Block Text" w:uiPriority="99"/>
    <w:lsdException w:name="List 5" w:uiPriority="99"/>
    <w:lsdException w:name="Table Classic 1" w:uiPriority="99"/>
    <w:lsdException w:name="Medium Shading 1 Accent 2" w:uiPriority="63" w:semiHidden="0" w:unhideWhenUsed="0"/>
    <w:lsdException w:name="footer" w:uiPriority="99" w:semiHidden="0"/>
    <w:lsdException w:name="Title" w:uiPriority="10" w:semiHidden="0" w:unhideWhenUsed="0" w:qFormat="1"/>
    <w:lsdException w:name="envelope return" w:uiPriority="99"/>
    <w:lsdException w:name="Medium Shading 2 Accent 3" w:uiPriority="64" w:semiHidden="0" w:unhideWhenUsed="0"/>
    <w:lsdException w:name="Medium Grid 3 Accent 3" w:uiPriority="69" w:semiHidden="0" w:unhideWhenUsed="0"/>
    <w:lsdException w:name="Emphasis" w:uiPriority="20" w:semiHidden="0" w:unhideWhenUsed="0" w:qFormat="1"/>
    <w:lsdException w:name="Table Columns 1" w:uiPriority="99"/>
    <w:lsdException w:name="FollowedHyperlink" w:uiPriority="99"/>
    <w:lsdException w:name="List Number 4" w:uiPriority="99"/>
    <w:lsdException w:name="Medium Grid 1 Accent 6" w:uiPriority="67" w:semiHidden="0" w:unhideWhenUsed="0"/>
    <w:lsdException w:name="Light Grid Accent 2" w:uiPriority="62" w:semiHidden="0" w:unhideWhenUsed="0"/>
    <w:lsdException w:name="Light Shading Accent 5" w:uiPriority="60" w:semiHidden="0" w:unhideWhenUsed="0"/>
    <w:lsdException w:name="Light List Accent 3" w:uiPriority="61" w:semiHidden="0" w:unhideWhenUsed="0"/>
    <w:lsdException w:name="caption" w:uiPriority="35" w:qFormat="1"/>
    <w:lsdException w:name="Table Classic 3" w:uiPriority="99"/>
    <w:lsdException w:name="Strong" w:uiPriority="22" w:semiHidden="0" w:unhideWhenUsed="0" w:qFormat="1"/>
    <w:lsdException w:name="toc 4" w:uiPriority="39"/>
    <w:lsdException w:name="index 2" w:uiPriority="99"/>
    <w:lsdException w:name="Colorful List Accent 5" w:uiPriority="72" w:semiHidden="0" w:unhideWhenUsed="0"/>
    <w:lsdException w:name="Normal" w:uiPriority="0" w:semiHidden="0" w:unhideWhenUsed="0" w:qFormat="1"/>
    <w:lsdException w:name="Light Shading Accent 1" w:uiPriority="60" w:semiHidden="0" w:unhideWhenUsed="0"/>
    <w:lsdException w:name="Light Shading Accent 6" w:uiPriority="60" w:semiHidden="0" w:unhideWhenUsed="0"/>
    <w:lsdException w:name="Medium Shading 1 Accent 6" w:uiPriority="63" w:semiHidden="0" w:unhideWhenUsed="0"/>
    <w:lsdException w:name="List Bullet" w:uiPriority="99" w:semiHidden="0"/>
    <w:lsdException w:name="Colorful Grid Accent 3" w:uiPriority="73" w:semiHidden="0" w:unhideWhenUsed="0"/>
    <w:lsdException w:name="Table Grid 7" w:uiPriority="99"/>
    <w:lsdException w:name="HTML Sample" w:uiPriority="99"/>
    <w:lsdException w:name="Body Text Indent 2" w:uiPriority="99"/>
    <w:lsdException w:name="List" w:uiPriority="99" w:semiHidden="0"/>
    <w:lsdException w:name="Medium Grid 2" w:uiPriority="68" w:semiHidden="0" w:unhideWhenUsed="0"/>
    <w:lsdException w:name="Medium Grid 3 Accent 2" w:uiPriority="69" w:semiHidden="0" w:unhideWhenUsed="0"/>
    <w:lsdException w:name="Colorful Grid Accent 5" w:uiPriority="73" w:semiHidden="0" w:unhideWhenUsed="0"/>
    <w:lsdException w:name="Medium Shading 2" w:uiPriority="64" w:semiHidden="0" w:unhideWhenUsed="0"/>
    <w:lsdException w:name="Table List 4" w:uiPriority="99"/>
    <w:lsdException w:name="Table Web 1" w:uiPriority="99"/>
    <w:lsdException w:name="toa heading" w:uiPriority="99"/>
    <w:lsdException w:name="Medium Shading 2 Accent 6" w:uiPriority="64" w:semiHidden="0" w:unhideWhenUsed="0"/>
    <w:lsdException w:name="Body Text Indent 3" w:uiPriority="99"/>
    <w:lsdException w:name="Medium List 2 Accent 3" w:uiPriority="66" w:semiHidden="0" w:unhideWhenUsed="0"/>
    <w:lsdException w:name="Colorful List Accent 6" w:uiPriority="72" w:semiHidden="0" w:unhideWhenUsed="0"/>
    <w:lsdException w:name="Medium Shading 1 Accent 3" w:uiPriority="63" w:semiHidden="0" w:unhideWhenUsed="0"/>
    <w:lsdException w:name="Colorful Shading Accent 2" w:uiPriority="71" w:semiHidden="0" w:unhideWhenUsed="0"/>
    <w:lsdException w:name="Medium List 1 Accent 1" w:uiPriority="65" w:semiHidden="0" w:unhideWhenUsed="0"/>
    <w:lsdException w:name="toc 9" w:uiPriority="39"/>
    <w:lsdException w:name="Light List Accent 2" w:uiPriority="61" w:semiHidden="0" w:unhideWhenUsed="0"/>
    <w:lsdException w:name="Salutation" w:uiPriority="99"/>
    <w:lsdException w:name="index 4" w:uiPriority="99"/>
    <w:lsdException w:name="Colorful Grid" w:uiPriority="73" w:semiHidden="0" w:unhideWhenUsed="0"/>
    <w:lsdException w:name="toc 3" w:uiPriority="39"/>
    <w:lsdException w:name="Light Shading Accent 3" w:uiPriority="60" w:semiHidden="0" w:unhideWhenUsed="0"/>
    <w:lsdException w:name="heading 7" w:uiPriority="9" w:qFormat="1"/>
    <w:lsdException w:name="Table List 7" w:uiPriority="99"/>
    <w:lsdException w:name="Hyperlink" w:uiPriority="99"/>
    <w:lsdException w:name="List Number 2" w:uiPriority="99" w:semiHidden="0"/>
    <w:lsdException w:name="toc 2" w:uiPriority="39"/>
    <w:lsdException w:name="envelope address" w:uiPriority="99"/>
    <w:lsdException w:name="Medium Shading 1 Accent 4" w:uiPriority="63" w:semiHidden="0" w:unhideWhenUsed="0"/>
    <w:lsdException w:name="Light List Accent 5" w:uiPriority="61" w:semiHidden="0" w:unhideWhenUsed="0"/>
    <w:lsdException w:name="HTML Keyboard" w:uiPriority="99"/>
    <w:lsdException w:name="Body Text First Indent" w:uiPriority="99"/>
    <w:lsdException w:name="Table 3D effects 2" w:uiPriority="99"/>
    <w:lsdException w:name="List Continue 5" w:uiPriority="99"/>
    <w:lsdException w:name="heading 5" w:uiPriority="9" w:qFormat="1"/>
    <w:lsdException w:name="Medium List 2" w:uiPriority="66" w:semiHidden="0" w:unhideWhenUsed="0"/>
    <w:lsdException w:name="Medium List 1 Accent 5" w:uiPriority="65" w:semiHidden="0" w:unhideWhenUsed="0"/>
    <w:lsdException w:name="Body Text 3" w:uiPriority="99" w:semiHidden="0"/>
    <w:lsdException w:name="annotation reference" w:uiPriority="99"/>
    <w:lsdException w:name="heading 1" w:uiPriority="9" w:semiHidden="0" w:unhideWhenUsed="0" w:qFormat="1"/>
    <w:lsdException w:name="Table Professional" w:uiPriority="99"/>
    <w:lsdException w:name="Table Theme" w:uiPriority="99"/>
    <w:lsdException w:name="List Number 5" w:uiPriority="99"/>
    <w:lsdException w:name="heading 6" w:uiPriority="9" w:qFormat="1"/>
    <w:lsdException w:name="Table List 8" w:uiPriority="99"/>
    <w:lsdException w:name="heading 8" w:uiPriority="9" w:qFormat="1"/>
    <w:lsdException w:name="Medium List 1 Accent 4" w:uiPriority="65" w:semiHidden="0" w:unhideWhenUsed="0"/>
    <w:lsdException w:name="Dark List Accent 6" w:uiPriority="70" w:semiHidden="0" w:unhideWhenUsed="0"/>
    <w:lsdException w:name="index 1" w:uiPriority="99"/>
    <w:lsdException w:name="Medium Grid 3 Accent 4" w:uiPriority="69" w:semiHidden="0" w:unhideWhenUsed="0"/>
    <w:lsdException w:name="Medium Grid 1 Accent 5" w:uiPriority="67" w:semiHidden="0" w:unhideWhenUsed="0"/>
    <w:lsdException w:name="List Continue" w:uiPriority="99" w:semiHidden="0"/>
    <w:lsdException w:name="Table Colorful 1" w:uiPriority="99"/>
    <w:lsdException w:name="Colorful List Accent 3" w:uiPriority="72" w:semiHidden="0" w:unhideWhenUsed="0"/>
    <w:lsdException w:name="Table Subtle 1" w:uiPriority="99"/>
    <w:lsdException w:name="Table List 5" w:uiPriority="99"/>
    <w:lsdException w:name="Body Text First Indent 2" w:uiPriority="99"/>
    <w:lsdException w:name="Closing" w:uiPriority="99"/>
    <w:lsdException w:name="heading 9" w:uiPriority="9" w:qFormat="1"/>
    <w:lsdException w:name="Medium Grid 1 Accent 3" w:uiPriority="67" w:semiHidden="0" w:unhideWhenUsed="0"/>
    <w:lsdException w:name="E-mail Signature" w:uiPriority="99"/>
    <w:lsdException w:name="Light Grid Accent 3" w:uiPriority="62" w:semiHidden="0" w:unhideWhenUsed="0"/>
    <w:lsdException w:name="index 7" w:uiPriority="99"/>
    <w:lsdException w:name="annotation subject" w:uiPriority="99"/>
    <w:lsdException w:name="Normal Indent" w:uiPriority="99"/>
    <w:lsdException w:name="Light Grid Accent 6" w:uiPriority="62" w:semiHidden="0" w:unhideWhenUsed="0"/>
    <w:lsdException w:name="index heading" w:uiPriority="99"/>
    <w:lsdException w:name="Dark List Accent 3" w:uiPriority="70" w:semiHidden="0" w:unhideWhenUsed="0"/>
    <w:lsdException w:name="HTML Address" w:uiPriority="99"/>
    <w:lsdException w:name="Table Columns 2" w:uiPriority="99"/>
    <w:lsdException w:name="index 5" w:uiPriority="99"/>
    <w:lsdException w:name="Dark List Accent 2" w:uiPriority="70" w:semiHidden="0" w:unhideWhenUsed="0"/>
    <w:lsdException w:name="HTML Definition" w:uiPriority="99"/>
    <w:lsdException w:name="Medium Shading 1 Accent 1" w:uiPriority="63" w:semiHidden="0" w:unhideWhenUsed="0"/>
    <w:lsdException w:name="Medium Grid 1 Accent 4" w:uiPriority="67" w:semiHidden="0" w:unhideWhenUsed="0"/>
    <w:lsdException w:name="index 6" w:uiPriority="99"/>
    <w:lsdException w:name="Table List 1" w:uiPriority="99"/>
    <w:lsdException w:name="Medium Shading 2 Accent 4" w:uiPriority="64" w:semiHidden="0" w:unhideWhenUsed="0"/>
    <w:lsdException w:name="Table Contemporary" w:uiPriority="99"/>
    <w:lsdException w:name="Medium List 2 Accent 6" w:uiPriority="66" w:semiHidden="0" w:unhideWhenUsed="0"/>
    <w:lsdException w:name="Table Colorful 3" w:uiPriority="99"/>
    <w:lsdException w:name="HTML Code" w:uiPriority="99"/>
    <w:lsdException w:name="annotation text" w:uiPriority="99"/>
    <w:lsdException w:name="List Bullet 2" w:uiPriority="99" w:semiHidden="0"/>
    <w:lsdException w:name="Dark List" w:uiPriority="70" w:semiHidden="0" w:unhideWhenUsed="0"/>
    <w:lsdException w:name="HTML Variable" w:uiPriority="99"/>
    <w:lsdException w:name="Medium Grid 2 Accent 3" w:uiPriority="68" w:semiHidden="0" w:unhideWhenUsed="0"/>
    <w:lsdException w:name="Plain Text" w:uiPriority="99"/>
    <w:lsdException w:name="Medium List 2 Accent 2" w:uiPriority="66" w:semiHidden="0" w:unhideWhenUsed="0"/>
    <w:lsdException w:name="Medium Grid 1" w:uiPriority="67" w:semiHidden="0" w:unhideWhenUsed="0"/>
    <w:lsdException w:name="index 9" w:uiPriority="99"/>
    <w:lsdException w:name="Table Classic 4" w:uiPriority="99"/>
    <w:lsdException w:name="Light List" w:uiPriority="61" w:semiHidden="0" w:unhideWhenUsed="0"/>
    <w:lsdException w:name="table of figures" w:uiPriority="99"/>
    <w:lsdException w:name="Table Columns 4" w:uiPriority="99"/>
    <w:lsdException w:name="Dark List Accent 1" w:uiPriority="70" w:semiHidden="0" w:unhideWhenUsed="0"/>
    <w:lsdException w:name="heading 4" w:uiPriority="9" w:qFormat="1"/>
    <w:lsdException w:name="List Bullet 5" w:uiPriority="99"/>
    <w:lsdException w:name="Medium Grid 2 Accent 5" w:uiPriority="68" w:semiHidden="0" w:unhideWhenUsed="0"/>
    <w:lsdException w:name="List Bullet 4" w:uiPriority="99"/>
    <w:lsdException w:name="Colorful Shading Accent 1" w:uiPriority="71" w:semiHidden="0" w:unhideWhenUsed="0"/>
    <w:lsdException w:name="Light Shading Accent 4" w:uiPriority="60" w:semiHidden="0" w:unhideWhenUsed="0"/>
    <w:lsdException w:name="Table List 6" w:uiPriority="99"/>
    <w:lsdException w:name="footnote reference" w:uiPriority="99"/>
    <w:lsdException w:name="footnote text" w:uiPriority="99"/>
    <w:lsdException w:name="Colorful Shading Accent 6" w:uiPriority="71" w:semiHidden="0" w:unhideWhenUsed="0"/>
    <w:lsdException w:name="Medium List 2 Accent 4" w:uiPriority="66" w:semiHidden="0" w:unhideWhenUsed="0"/>
    <w:lsdException w:name="macro" w:uiPriority="99" w:semiHidden="0"/>
    <w:lsdException w:name="Table Simple 3" w:uiPriority="99"/>
    <w:lsdException w:name="Dark List Accent 4" w:uiPriority="70" w:semiHidden="0" w:unhideWhenUsed="0"/>
    <w:lsdException w:name="Colorful Shading" w:uiPriority="71" w:semiHidden="0" w:unhideWhenUsed="0"/>
    <w:lsdException w:name="Table Grid" w:uiPriority="59" w:semiHidden="0" w:unhideWhenUsed="0"/>
    <w:lsdException w:name="heading 2" w:uiPriority="9" w:semiHidden="0" w:qFormat="1"/>
    <w:lsdException w:name="Table List 2" w:uiPriority="99"/>
    <w:lsdException w:name="Colorful Grid Accent 2" w:uiPriority="73" w:semiHidden="0" w:unhideWhenUsed="0"/>
    <w:lsdException w:name="Colorful List Accent 4" w:uiPriority="72" w:semiHidden="0" w:unhideWhenUsed="0"/>
    <w:lsdException w:name="Medium Grid 2 Accent 1" w:uiPriority="68" w:semiHidden="0" w:unhideWhenUsed="0"/>
    <w:lsdException w:name="Document Map" w:uiPriority="99"/>
    <w:lsdException w:name="Medium Grid 3" w:uiPriority="69" w:semiHidden="0" w:unhideWhenUsed="0"/>
    <w:lsdException w:name="Light Shading Accent 2" w:uiPriority="60" w:semiHidden="0" w:unhideWhenUsed="0"/>
    <w:lsdException w:name="No Spacing" w:uiPriority="1" w:semiHidden="0" w:unhideWhenUsed="0" w:qFormat="1"/>
    <w:lsdException w:name="List 3" w:uiPriority="99" w:semiHidden="0"/>
    <w:lsdException w:name="Normal Table" w:uiPriority="99"/>
    <w:lsdException w:name="Table Grid 5" w:uiPriority="99"/>
    <w:lsdException w:name="Colorful Grid Accent 1" w:uiPriority="73" w:semiHidden="0" w:unhideWhenUsed="0"/>
    <w:lsdException w:name="toc 8" w:uiPriority="39"/>
    <w:lsdException w:name="endnote reference" w:uiPriority="99"/>
    <w:lsdException w:name="List Continue 2" w:uiPriority="99" w:semiHidden="0"/>
    <w:lsdException w:name="Light Shading" w:uiPriority="60" w:semiHidden="0" w:unhideWhenUsed="0"/>
    <w:lsdException w:name="Medium Shading 1 Accent 5" w:uiPriority="63" w:semiHidden="0" w:unhideWhenUsed="0"/>
    <w:lsdException w:name="Signature" w:uiPriority="99"/>
    <w:lsdException w:name="Table 3D effects 1" w:uiPriority="99"/>
    <w:lsdException w:name="Light List Accent 4" w:uiPriority="61" w:semiHidden="0" w:unhideWhenUsed="0"/>
    <w:lsdException w:name="List Number 3" w:uiPriority="99" w:semiHidden="0"/>
    <w:lsdException w:name="toc 6" w:uiPriority="39"/>
    <w:lsdException w:name="Table Web 2" w:uiPriority="99"/>
    <w:lsdException w:name="Colorful List Accent 2" w:uiPriority="72" w:semiHidden="0" w:unhideWhenUsed="0"/>
    <w:lsdException w:name="header" w:uiPriority="99" w:semiHidden="0"/>
    <w:lsdException w:name="Table Subtle 2" w:uiPriority="99"/>
    <w:lsdException w:name="Table Elegant" w:uiPriority="99"/>
    <w:lsdException w:name="Balloon Text" w:uiPriority="99"/>
    <w:lsdException w:name="Table Grid 4" w:uiPriority="99"/>
    <w:lsdException w:name="Table 3D effects 3" w:uiPriority="99"/>
    <w:lsdException w:name="Table Grid 2" w:uiPriority="99"/>
    <w:lsdException w:name="Medium List 1" w:uiPriority="65" w:semiHidden="0" w:unhideWhenUsed="0"/>
    <w:lsdException w:name="Medium List 2 Accent 5" w:uiPriority="66" w:semiHidden="0" w:unhideWhenUsed="0"/>
    <w:lsdException w:name="Table Columns 5" w:uiPriority="99"/>
    <w:lsdException w:name="Medium List 1 Accent 2" w:uiPriority="65" w:semiHidden="0" w:unhideWhenUsed="0"/>
    <w:lsdException w:name="Colorful Shading Accent 3" w:uiPriority="71" w:semiHidden="0" w:unhideWhenUsed="0"/>
    <w:lsdException w:name="Colorful Grid Accent 6" w:uiPriority="73" w:semiHidden="0" w:unhideWhenUsed="0"/>
    <w:lsdException w:name="index 3" w:uiPriority="99"/>
    <w:lsdException w:name="Medium Grid 3 Accent 5" w:uiPriority="69" w:semiHidden="0" w:unhideWhenUsed="0"/>
    <w:lsdException w:name="Medium List 1 Accent 3" w:uiPriority="65" w:semiHidden="0" w:unhideWhenUsed="0"/>
    <w:lsdException w:name="List Continue 3" w:uiPriority="99" w:semiHidden="0"/>
    <w:lsdException w:name="Medium Grid 1 Accent 2" w:uiPriority="67" w:semiHidden="0" w:unhideWhenUsed="0"/>
    <w:lsdException w:name="page number" w:uiPriority="99"/>
    <w:lsdException w:name="Medium List 2 Accent 1" w:uiPriority="66" w:semiHidden="0" w:unhideWhenUsed="0"/>
    <w:lsdException w:name="Body Text" w:uiPriority="99" w:semiHidden="0"/>
    <w:lsdException w:name="Subtitle" w:uiPriority="11" w:semiHidden="0" w:unhideWhenUsed="0" w:qFormat="1"/>
    <w:lsdException w:name="Medium Grid 3 Accent 1" w:uiPriority="69" w:semiHidden="0" w:unhideWhenUsed="0"/>
    <w:lsdException w:name="HTML Typewriter" w:uiPriority="99"/>
    <w:lsdException w:name="HTML Preformatted" w:uiPriority="99"/>
    <w:lsdException w:name="Table Grid 8" w:uiPriority="99"/>
    <w:lsdException w:name="toc 7" w:uiPriority="39"/>
    <w:lsdException w:name="Medium Grid 2 Accent 6" w:uiPriority="68" w:semiHidden="0" w:unhideWhenUsed="0"/>
    <w:lsdException w:name="Medium Grid 2 Accent 4" w:uiPriority="68" w:semiHidden="0" w:unhideWhenUsed="0"/>
    <w:lsdException w:name="Table Colorful 2" w:uiPriority="99"/>
    <w:lsdException w:name="Medium Shading 2 Accent 5" w:uiPriority="64" w:semiHidden="0" w:unhideWhenUsed="0"/>
    <w:lsdException w:name="toc 1" w:uiPriority="39"/>
    <w:lsdException w:name="Colorful Grid Accent 4" w:uiPriority="73" w:semiHidden="0" w:unhideWhenUsed="0"/>
    <w:lsdException w:name="List 4" w:uiPriority="99"/>
    <w:lsdException w:name="Medium List 1 Accent 6" w:uiPriority="65" w:semiHidden="0" w:unhideWhenUsed="0"/>
    <w:lsdException w:name="Normal (Web)" w:uiPriority="99"/>
    <w:lsdException w:name="Medium Shading 2 Accent 1" w:uiPriority="64" w:semiHidden="0" w:unhideWhenUsed="0"/>
    <w:lsdException w:name="List Number" w:uiPriority="99" w:semiHidden="0"/>
    <w:lsdException w:name="Medium Grid 2 Accent 2" w:uiPriority="68" w:semiHidden="0" w:unhideWhenUsed="0"/>
    <w:lsdException w:name="List Continue 4" w:uiPriority="99"/>
    <w:lsdException w:name="Colorful Shading Accent 5" w:uiPriority="71" w:semiHidden="0" w:unhideWhenUsed="0"/>
    <w:lsdException w:name="toc 5" w:uiPriority="39"/>
    <w:lsdException w:name="List Paragraph" w:uiPriority="34" w:semiHidden="0" w:unhideWhenUsed="0" w:qFormat="1"/>
    <w:lsdException w:name="Quote" w:uiPriority="29" w:semiHidden="0" w:unhideWhenUsed="0" w:qFormat="1"/>
    <w:lsdException w:name="Table Grid 6" w:uiPriority="99"/>
    <w:lsdException w:name="endnote text" w:uiPriority="99"/>
    <w:lsdException w:name="Light Grid Accent 5" w:uiPriority="62" w:semiHidden="0" w:unhideWhenUsed="0"/>
    <w:lsdException w:name="Table Simple 2" w:uiPriority="99"/>
    <w:lsdException w:name="List 2" w:uiPriority="99" w:semiHidden="0"/>
    <w:lsdException w:name="Medium Grid 1 Accent 1" w:uiPriority="67" w:semiHidden="0" w:unhideWhenUsed="0"/>
    <w:lsdException w:name="Table List 3" w:uiPriority="99"/>
    <w:lsdException w:name="Light List Accent 6" w:uiPriority="61" w:semiHidden="0" w:unhideWhenUsed="0"/>
    <w:lsdException w:name="Medium Shading 1" w:uiPriority="63" w:semiHidden="0" w:unhideWhenUsed="0"/>
    <w:lsdException w:name="Light List Accent 1" w:uiPriority="61" w:semiHidden="0" w:unhideWhenUsed="0"/>
    <w:lsdException w:name="Medium Grid 3 Accent 6" w:uiPriority="69" w:semiHidden="0" w:unhideWhenUsed="0"/>
    <w:lsdException w:name="Table Grid 3" w:uiPriority="99"/>
    <w:lsdException w:name="Dark List Accent 5" w:uiPriority="70" w:semiHidden="0" w:unhideWhenUsed="0"/>
    <w:lsdException w:name="Body Text 2" w:uiPriority="99" w:semiHidden="0"/>
    <w:lsdException w:name="Colorful List Accent 1" w:uiPriority="72" w:semiHidden="0" w:unhideWhenUsed="0"/>
    <w:lsdException w:name="Table Simple 1" w:uiPriority="99"/>
    <w:lsdException w:name="index 8" w:uiPriority="99"/>
    <w:lsdException w:name="Light Grid Accent 4" w:uiPriority="62" w:semiHidden="0" w:unhideWhenUsed="0"/>
    <w:lsdException w:name="Message Header" w:uiPriority="99"/>
    <w:lsdException w:name="Default Paragraph Font" w:uiPriority="1"/>
    <w:lsdException w:name="line number" w:uiPriority="99"/>
    <w:lsdException w:name="Medium Shading 2 Accent 2" w:uiPriority="64" w:semiHidden="0" w:unhideWhenUsed="0"/>
    <w:lsdException w:name="Light Grid Accent 1" w:uiPriority="62" w:semiHidden="0" w:unhideWhenUsed="0"/>
    <w:lsdException w:name="HTML Cite" w:uiPriority="99"/>
    <w:lsdException w:name="Intense Quote" w:uiPriority="30" w:semiHidden="0" w:unhideWhenUsed="0" w:qFormat="1"/>
    <w:lsdException w:name="List Bullet 3" w:uiPriority="99" w:semiHidden="0"/>
    <w:lsdException w:name="Note Heading" w:uiPriority="99"/>
    <w:lsdException w:name="Body Text Indent" w:uiPriority="99"/>
    <w:lsdException w:name="heading 3" w:uiPriority="9" w:semiHidden="0" w:qFormat="1"/>
    <w:lsdException w:name="Table Grid 1" w:uiPriority="99"/>
  </w:latentStyles>
  <w:style w:type="paragraph" w:styleId="000007">
    <w:name w:val="header"/>
    <w:basedOn w:val="000020"/>
    <w:link w:val="000040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0000b8" w:customStyle="1">
    <w:name w:val="Intense Reference"/>
    <w:basedOn w:val="000033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54">
    <w:name w:val="Light List Accent 2"/>
    <w:basedOn w:val="0000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table" w:styleId="000091">
    <w:name w:val="Dark List"/>
    <w:basedOn w:val="0000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8">
    <w:name w:val="Medium List 2 Accent 3"/>
    <w:basedOn w:val="0000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7a">
    <w:name w:val="Medium List 2 Accent 5"/>
    <w:basedOn w:val="0000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8d">
    <w:name w:val="Medium Grid 3 Accent 3"/>
    <w:basedOn w:val="0000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2" w:customStyle="1">
    <w:name w:val="Subtitle Char"/>
    <w:basedOn w:val="000033"/>
    <w:link w:val="000041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6c">
    <w:name w:val="Medium Shading 2 Accent 5"/>
    <w:basedOn w:val="0000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a" w:customStyle="1">
    <w:name w:val="Heading 5 Char"/>
    <w:basedOn w:val="000033"/>
    <w:link w:val="000029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a4">
    <w:name w:val="Colorful List Accent 5"/>
    <w:basedOn w:val="0000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6a">
    <w:name w:val="Medium Shading 2 Accent 3"/>
    <w:basedOn w:val="0000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b7" w:customStyle="1">
    <w:name w:val="Subtle Reference"/>
    <w:basedOn w:val="000033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80">
    <w:name w:val="Medium Grid 1 Accent 4"/>
    <w:basedOn w:val="0000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character" w:styleId="0000ad">
    <w:name w:val="Strong"/>
    <w:basedOn w:val="000033"/>
    <w:uiPriority w:val="22"/>
    <w:qFormat w:val="1"/>
    <w:rPr>
      <w:b w:val="1"/>
      <w:bCs w:val="1"/>
    </w:rPr>
  </w:style>
  <w:style w:type="table" w:styleId="000094">
    <w:name w:val="Dark List Accent 3"/>
    <w:basedOn w:val="0000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4">
    <w:name w:val="Medium List 1 Accent 6"/>
    <w:basedOn w:val="0000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27">
    <w:name w:val="heading 4"/>
    <w:basedOn w:val="000020"/>
    <w:next w:val="000020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37">
    <w:name w:val="List 3"/>
    <w:basedOn w:val="000020"/>
    <w:uiPriority w:val="99"/>
    <w:unhideWhenUsed w:val="1"/>
    <w:pPr>
      <w:ind w:left="1080" w:hanging="360"/>
      <w:contextualSpacing w:val="1"/>
    </w:pPr>
  </w:style>
  <w:style w:type="table" w:styleId="000070">
    <w:name w:val="Medium List 1 Accent 2"/>
    <w:basedOn w:val="0000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</w:style>
  <w:style w:type="table" w:styleId="0000a9">
    <w:name w:val="Colorful Grid Accent 3"/>
    <w:basedOn w:val="0000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</w:style>
  <w:style w:type="table" w:styleId="00004c">
    <w:name w:val="Light Shading Accent 1"/>
    <w:basedOn w:val="0000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ae">
    <w:name w:val="Emphasis"/>
    <w:basedOn w:val="000033"/>
    <w:uiPriority w:val="20"/>
    <w:qFormat w:val="1"/>
    <w:rPr>
      <w:i w:val="1"/>
      <w:iCs w:val="1"/>
    </w:rPr>
  </w:style>
  <w:style w:type="table" w:styleId="000062">
    <w:name w:val="Medium Shading 1 Accent 2"/>
    <w:basedOn w:val="0000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</w:style>
  <w:style w:type="character" w:styleId="000032" w:customStyle="1">
    <w:name w:val="Heading 9 Char"/>
    <w:basedOn w:val="000033"/>
    <w:link w:val="000031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48">
    <w:name w:val="Title"/>
    <w:basedOn w:val="000020"/>
    <w:next w:val="000020"/>
    <w:link w:val="000049"/>
    <w:uiPriority w:val="10"/>
    <w:qFormat w:val="1"/>
    <w:pPr>
      <w:keepNext w:val="1"/>
      <w:pBdr>
        <w:bottom w:val="single" w:color="4F81BD" w:themeColor="accent1" w:sz="8" w:space="4"/>
      </w:pBdr>
      <w:spacing w:before="0" w:after="200" w:line="240" w:lineRule="auto"/>
      <w:contextualSpacing w:val="1"/>
    </w:pPr>
    <w:rPr>
      <w:rFonts w:asciiTheme="majorHAnsi" w:hAnsiTheme="majorHAnsi" w:eastAsiaTheme="majorEastAsia" w:cstheme="majorBidi"/>
      <w:b w:val="1"/>
      <w:color w:val="1F4E78"/>
      <w:spacing w:val="5"/>
      <w:kern w:val="28"/>
      <w:sz w:val="50"/>
      <w:szCs w:val="52"/>
    </w:rPr>
  </w:style>
  <w:style w:type="table" w:styleId="00007d">
    <w:name w:val="Medium Grid 1 Accent 1"/>
    <w:basedOn w:val="0000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</w:style>
  <w:style w:type="table" w:styleId="000060">
    <w:name w:val="Medium Shading 1"/>
    <w:basedOn w:val="0000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76">
    <w:name w:val="Medium List 2 Accent 1"/>
    <w:basedOn w:val="0000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5">
    <w:name w:val="macro"/>
    <w:link w:val="000036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000023">
    <w:name w:val="heading 2"/>
    <w:basedOn w:val="000020"/>
    <w:next w:val="000020"/>
    <w:link w:val="000024"/>
    <w:uiPriority w:val="9"/>
    <w:unhideWhenUsed w:val="1"/>
    <w:qFormat w:val="1"/>
    <w:pPr>
      <w:keepNext w:val="1"/>
      <w:keepLines w:val="1"/>
      <w:spacing w:before="240" w:after="120"/>
      <w:outlineLvl w:val="1"/>
    </w:pPr>
    <w:rPr>
      <w:rFonts w:asciiTheme="majorHAnsi" w:hAnsiTheme="majorHAnsi" w:eastAsiaTheme="majorEastAsia" w:cstheme="majorBidi"/>
      <w:b w:val="1"/>
      <w:bCs w:val="1"/>
      <w:color w:val="1F4E78"/>
      <w:sz w:val="26"/>
      <w:szCs w:val="26"/>
    </w:rPr>
  </w:style>
  <w:style w:type="character" w:styleId="00003f" w:customStyle="1">
    <w:name w:val="Footer Char"/>
    <w:basedOn w:val="000033"/>
    <w:link w:val="000005"/>
    <w:uiPriority w:val="99"/>
  </w:style>
  <w:style w:type="character" w:styleId="00003c" w:customStyle="1">
    <w:name w:val="Body Text Char"/>
    <w:basedOn w:val="000033"/>
    <w:link w:val="00003b"/>
    <w:uiPriority w:val="99"/>
  </w:style>
  <w:style w:type="paragraph" w:styleId="00002b">
    <w:name w:val="heading 6"/>
    <w:basedOn w:val="000020"/>
    <w:next w:val="000020"/>
    <w:link w:val="00002c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1">
    <w:name w:val="Medium List 1 Accent 3"/>
    <w:basedOn w:val="0000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b2" w:customStyle="1">
    <w:name w:val="Quote Char"/>
    <w:basedOn w:val="000033"/>
    <w:link w:val="0000b1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20" w:default="1">
    <w:name w:val="Normal"/>
    <w:uiPriority w:val="0"/>
    <w:qFormat w:val="1"/>
    <w:pPr>
      <w:spacing w:after="120" w:line="264" w:lineRule="auto"/>
    </w:pPr>
    <w:rPr>
      <w:rFonts w:ascii="Calibri" w:hAnsi="Calibri" w:eastAsia="微软雅黑" w:cstheme="minorBidi"/>
      <w:color w:val="1F1F1F"/>
      <w:sz w:val="22"/>
      <w:szCs w:val="22"/>
      <w:lang w:val="en-US" w:eastAsia="en-US" w:bidi="ar-SA"/>
    </w:rPr>
  </w:style>
  <w:style w:type="table" w:styleId="000069">
    <w:name w:val="Medium Shading 2 Accent 2"/>
    <w:basedOn w:val="0000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a2">
    <w:name w:val="Colorful List Accent 3"/>
    <w:basedOn w:val="0000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4">
    <w:name w:val="Medium Grid 2 Accent 1"/>
    <w:basedOn w:val="0000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5">
    <w:name w:val="Dark List Accent 4"/>
    <w:basedOn w:val="0000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9b">
    <w:name w:val="Colorful Shading Accent 3"/>
    <w:basedOn w:val="0000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89">
    <w:name w:val="Medium Grid 2 Accent 6"/>
    <w:basedOn w:val="0000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</w:style>
  <w:style w:type="paragraph" w:styleId="00002d">
    <w:name w:val="heading 7"/>
    <w:basedOn w:val="000020"/>
    <w:next w:val="000020"/>
    <w:link w:val="00002e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0f">
    <w:name w:val="List Number 2"/>
    <w:basedOn w:val="000020"/>
    <w:uiPriority w:val="99"/>
    <w:unhideWhenUsed w:val="1"/>
    <w:pPr>
      <w:numPr>
        <w:ilvl w:val="0"/>
        <w:numId w:val="1"/>
      </w:numPr>
      <w:contextualSpacing w:val="1"/>
    </w:pPr>
  </w:style>
  <w:style w:type="table" w:styleId="00006b">
    <w:name w:val="Medium Shading 2 Accent 4"/>
    <w:basedOn w:val="0000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c">
    <w:name w:val="Colorful Grid Accent 6"/>
    <w:basedOn w:val="0000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a0">
    <w:name w:val="Colorful List Accent 1"/>
    <w:basedOn w:val="0000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table" w:styleId="000065">
    <w:name w:val="Medium Shading 1 Accent 5"/>
    <w:basedOn w:val="0000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</w:style>
  <w:style w:type="paragraph" w:styleId="000043">
    <w:name w:val="List"/>
    <w:basedOn w:val="000020"/>
    <w:uiPriority w:val="99"/>
    <w:unhideWhenUsed w:val="1"/>
    <w:pPr>
      <w:ind w:left="360" w:hanging="360"/>
      <w:contextualSpacing w:val="1"/>
    </w:pPr>
  </w:style>
  <w:style w:type="table" w:styleId="000050">
    <w:name w:val="Light Shading Accent 5"/>
    <w:basedOn w:val="0000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98">
    <w:name w:val="Colorful Shading"/>
    <w:basedOn w:val="0000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a3">
    <w:name w:val="Colorful List Accent 4"/>
    <w:basedOn w:val="0000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</w:style>
  <w:style w:type="character" w:styleId="000026" w:customStyle="1">
    <w:name w:val="Heading 3 Char"/>
    <w:basedOn w:val="000033"/>
    <w:link w:val="000025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000040" w:customStyle="1">
    <w:name w:val="Header Char"/>
    <w:basedOn w:val="000033"/>
    <w:link w:val="000007"/>
    <w:uiPriority w:val="99"/>
  </w:style>
  <w:style w:type="table" w:styleId="0000aa">
    <w:name w:val="Colorful Grid Accent 4"/>
    <w:basedOn w:val="0000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5a">
    <w:name w:val="Light Grid Accent 1"/>
    <w:basedOn w:val="0000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4b">
    <w:name w:val="Light Shading"/>
    <w:basedOn w:val="0000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5f">
    <w:name w:val="Light Grid Accent 6"/>
    <w:basedOn w:val="0000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67">
    <w:name w:val="Medium Shading 2"/>
    <w:basedOn w:val="0000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5">
    <w:name w:val="Colorful List Accent 6"/>
    <w:basedOn w:val="0000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93">
    <w:name w:val="Dark List Accent 2"/>
    <w:basedOn w:val="0000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a8">
    <w:name w:val="Colorful Grid Accent 2"/>
    <w:basedOn w:val="0000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5d">
    <w:name w:val="Light Grid Accent 4"/>
    <w:basedOn w:val="0000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paragraph" w:styleId="000038">
    <w:name w:val="caption"/>
    <w:basedOn w:val="000020"/>
    <w:next w:val="000020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5b">
    <w:name w:val="Light Grid Accent 2"/>
    <w:basedOn w:val="0000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b5" w:customStyle="1">
    <w:name w:val="Subtle Emphasis"/>
    <w:basedOn w:val="000033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9f">
    <w:name w:val="Colorful List"/>
    <w:basedOn w:val="0000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6e">
    <w:name w:val="Medium List 1"/>
    <w:basedOn w:val="0000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00009d">
    <w:name w:val="Colorful Shading Accent 5"/>
    <w:basedOn w:val="0000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4d">
    <w:name w:val="Light Shading Accent 2"/>
    <w:basedOn w:val="0000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af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59">
    <w:name w:val="Light Grid"/>
    <w:basedOn w:val="0000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e">
    <w:name w:val="List Continue"/>
    <w:basedOn w:val="000020"/>
    <w:uiPriority w:val="99"/>
    <w:unhideWhenUsed w:val="1"/>
    <w:pPr>
      <w:spacing w:after="120"/>
      <w:ind w:left="360"/>
      <w:contextualSpacing w:val="1"/>
    </w:pPr>
  </w:style>
  <w:style w:type="table" w:styleId="000058">
    <w:name w:val="Light List Accent 6"/>
    <w:basedOn w:val="0000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4a">
    <w:name w:val="Table Grid"/>
    <w:basedOn w:val="0000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5">
    <w:name w:val="Medium Grid 2 Accent 2"/>
    <w:basedOn w:val="0000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6" w:customStyle="1">
    <w:name w:val="Macro Text Char"/>
    <w:basedOn w:val="000033"/>
    <w:link w:val="000035"/>
    <w:uiPriority w:val="99"/>
    <w:rPr>
      <w:rFonts w:ascii="Courier" w:hAnsi="Courier"/>
      <w:sz w:val="20"/>
      <w:szCs w:val="20"/>
    </w:rPr>
  </w:style>
  <w:style w:type="table" w:styleId="000068">
    <w:name w:val="Medium Shading 2 Accent 1"/>
    <w:basedOn w:val="0000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51">
    <w:name w:val="Light Shading Accent 6"/>
    <w:basedOn w:val="0000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79">
    <w:name w:val="Medium List 2 Accent 4"/>
    <w:basedOn w:val="0000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3">
    <w:name w:val="Medium List 1 Accent 5"/>
    <w:basedOn w:val="0000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paragraph" w:styleId="000041">
    <w:name w:val="Subtitle"/>
    <w:basedOn w:val="000020"/>
    <w:next w:val="000020"/>
    <w:link w:val="000042"/>
    <w:uiPriority w:val="11"/>
    <w:qFormat w:val="1"/>
    <w:pPr>
      <w:keepNext w:val="1"/>
      <w:spacing w:before="0" w:after="120"/>
    </w:pPr>
    <w:rPr>
      <w:rFonts w:asciiTheme="majorHAnsi" w:hAnsiTheme="majorHAnsi" w:eastAsiaTheme="majorEastAsia" w:cstheme="majorBidi"/>
      <w:i w:val="1"/>
      <w:iCs w:val="1"/>
      <w:color w:val="666666"/>
      <w:spacing w:val="15"/>
      <w:sz w:val="24"/>
      <w:szCs w:val="24"/>
    </w:rPr>
  </w:style>
  <w:style w:type="table" w:styleId="000092">
    <w:name w:val="Dark List Accent 1"/>
    <w:basedOn w:val="0000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e">
    <w:name w:val="Colorful Shading Accent 6"/>
    <w:basedOn w:val="0000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</w:style>
  <w:style w:type="character" w:styleId="000045" w:customStyle="1">
    <w:name w:val="Body Text 2 Char"/>
    <w:basedOn w:val="000033"/>
    <w:link w:val="000044"/>
    <w:uiPriority w:val="99"/>
  </w:style>
  <w:style w:type="paragraph" w:styleId="00000d">
    <w:name w:val="List Number 3"/>
    <w:basedOn w:val="000020"/>
    <w:uiPriority w:val="99"/>
    <w:unhideWhenUsed w:val="1"/>
    <w:pPr>
      <w:numPr>
        <w:ilvl w:val="0"/>
        <w:numId w:val="2"/>
      </w:numPr>
      <w:contextualSpacing w:val="1"/>
    </w:pPr>
  </w:style>
  <w:style w:type="table" w:styleId="00008f">
    <w:name w:val="Medium Grid 3 Accent 5"/>
    <w:basedOn w:val="0000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000061">
    <w:name w:val="Medium Shading 1 Accent 1"/>
    <w:basedOn w:val="0000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24" w:customStyle="1">
    <w:name w:val="Heading 2 Char"/>
    <w:basedOn w:val="000033"/>
    <w:link w:val="000023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00002c" w:customStyle="1">
    <w:name w:val="Heading 6 Char"/>
    <w:basedOn w:val="000033"/>
    <w:link w:val="00002b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2">
    <w:name w:val="Medium List 1 Accent 4"/>
    <w:basedOn w:val="0000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47">
    <w:name w:val="List Continue 3"/>
    <w:basedOn w:val="000020"/>
    <w:uiPriority w:val="99"/>
    <w:unhideWhenUsed w:val="1"/>
    <w:pPr>
      <w:spacing w:after="120"/>
      <w:ind w:left="1080"/>
      <w:contextualSpacing w:val="1"/>
    </w:pPr>
  </w:style>
  <w:style w:type="table" w:styleId="00007e">
    <w:name w:val="Medium Grid 1 Accent 2"/>
    <w:basedOn w:val="0000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2">
    <w:name w:val="Medium Grid 1 Accent 6"/>
    <w:basedOn w:val="0000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character" w:styleId="0000b9" w:customStyle="1">
    <w:name w:val="Book Title"/>
    <w:basedOn w:val="000033"/>
    <w:uiPriority w:val="33"/>
    <w:qFormat w:val="1"/>
    <w:rPr>
      <w:b w:val="1"/>
      <w:bCs w:val="1"/>
      <w:smallCaps w:val="1"/>
      <w:spacing w:val="5"/>
    </w:rPr>
  </w:style>
  <w:style w:type="table" w:styleId="00004e">
    <w:name w:val="Light Shading Accent 3"/>
    <w:basedOn w:val="0000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paragraph" w:styleId="000046">
    <w:name w:val="List Continue 2"/>
    <w:basedOn w:val="000020"/>
    <w:uiPriority w:val="99"/>
    <w:unhideWhenUsed w:val="1"/>
    <w:pPr>
      <w:spacing w:after="120"/>
      <w:ind w:left="720"/>
      <w:contextualSpacing w:val="1"/>
    </w:pPr>
  </w:style>
  <w:style w:type="paragraph" w:styleId="000044">
    <w:name w:val="Body Text 2"/>
    <w:basedOn w:val="000020"/>
    <w:link w:val="000045"/>
    <w:uiPriority w:val="99"/>
    <w:unhideWhenUsed w:val="1"/>
    <w:pPr>
      <w:spacing w:after="120" w:line="480" w:lineRule="auto"/>
    </w:pPr>
  </w:style>
  <w:style w:type="table" w:styleId="000090">
    <w:name w:val="Medium Grid 3 Accent 6"/>
    <w:basedOn w:val="0000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paragraph" w:styleId="0000b0">
    <w:name w:val="List Paragraph"/>
    <w:basedOn w:val="000020"/>
    <w:uiPriority w:val="34"/>
    <w:qFormat w:val="1"/>
    <w:pPr>
      <w:ind w:left="720"/>
      <w:contextualSpacing w:val="1"/>
    </w:pPr>
  </w:style>
  <w:style w:type="character" w:styleId="000049" w:customStyle="1">
    <w:name w:val="Title Char"/>
    <w:basedOn w:val="000033"/>
    <w:link w:val="00004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56">
    <w:name w:val="Light List Accent 4"/>
    <w:basedOn w:val="0000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11">
    <w:name w:val="List Bullet 3"/>
    <w:basedOn w:val="000020"/>
    <w:uiPriority w:val="99"/>
    <w:unhideWhenUsed w:val="1"/>
    <w:pPr>
      <w:numPr>
        <w:ilvl w:val="0"/>
        <w:numId w:val="3"/>
      </w:numPr>
      <w:contextualSpacing w:val="1"/>
    </w:pPr>
  </w:style>
  <w:style w:type="paragraph" w:styleId="0000b1">
    <w:name w:val="Quote"/>
    <w:basedOn w:val="000020"/>
    <w:next w:val="000020"/>
    <w:link w:val="0000b2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88">
    <w:name w:val="Medium Grid 2 Accent 5"/>
    <w:basedOn w:val="0000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5">
    <w:name w:val="footer"/>
    <w:basedOn w:val="000020"/>
    <w:link w:val="00003f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64">
    <w:name w:val="Medium Shading 1 Accent 4"/>
    <w:basedOn w:val="0000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table" w:styleId="00008a">
    <w:name w:val="Medium Grid 3"/>
    <w:basedOn w:val="0000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table" w:styleId="000055">
    <w:name w:val="Light List Accent 3"/>
    <w:basedOn w:val="0000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7">
    <w:name w:val="Medium Grid 2 Accent 4"/>
    <w:basedOn w:val="0000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3">
    <w:name w:val="Light List Accent 1"/>
    <w:basedOn w:val="0000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07b">
    <w:name w:val="Medium List 2 Accent 6"/>
    <w:basedOn w:val="0000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ba" w:customStyle="1">
    <w:name w:val="TOC Heading"/>
    <w:basedOn w:val="000021"/>
    <w:next w:val="000020"/>
    <w:uiPriority w:val="39"/>
    <w:semiHidden w:val="1"/>
    <w:unhideWhenUsed w:val="1"/>
    <w:qFormat w:val="1"/>
    <w:pPr>
      <w:outlineLvl w:val="9"/>
    </w:pPr>
  </w:style>
  <w:style w:type="paragraph" w:styleId="000021">
    <w:name w:val="heading 1"/>
    <w:basedOn w:val="000020"/>
    <w:next w:val="000020"/>
    <w:link w:val="000022"/>
    <w:uiPriority w:val="9"/>
    <w:qFormat w:val="1"/>
    <w:pPr>
      <w:keepNext w:val="1"/>
      <w:keepLines w:val="1"/>
      <w:spacing w:before="320" w:after="160"/>
      <w:outlineLvl w:val="0"/>
    </w:pPr>
    <w:rPr>
      <w:rFonts w:asciiTheme="majorHAnsi" w:hAnsiTheme="majorHAnsi" w:eastAsiaTheme="majorEastAsia" w:cstheme="majorBidi"/>
      <w:b w:val="1"/>
      <w:bCs w:val="1"/>
      <w:color w:val="1F4E78"/>
      <w:sz w:val="32"/>
      <w:szCs w:val="28"/>
    </w:rPr>
  </w:style>
  <w:style w:type="table" w:styleId="000077">
    <w:name w:val="Medium List 2 Accent 2"/>
    <w:basedOn w:val="0000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paragraph" w:styleId="00003b">
    <w:name w:val="Body Text"/>
    <w:basedOn w:val="000020"/>
    <w:link w:val="00003c"/>
    <w:uiPriority w:val="99"/>
    <w:unhideWhenUsed w:val="1"/>
    <w:pPr>
      <w:spacing w:after="120"/>
    </w:pPr>
  </w:style>
  <w:style w:type="paragraph" w:styleId="000039">
    <w:name w:val="Body Text 3"/>
    <w:basedOn w:val="000020"/>
    <w:link w:val="00003a"/>
    <w:uiPriority w:val="99"/>
    <w:unhideWhenUsed w:val="1"/>
    <w:pPr>
      <w:spacing w:after="120"/>
    </w:pPr>
    <w:rPr>
      <w:sz w:val="16"/>
      <w:szCs w:val="16"/>
    </w:rPr>
  </w:style>
  <w:style w:type="table" w:styleId="00004f">
    <w:name w:val="Light Shading Accent 4"/>
    <w:basedOn w:val="0000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a">
    <w:name w:val="Colorful Shading Accent 2"/>
    <w:basedOn w:val="0000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</w:style>
  <w:style w:type="paragraph" w:styleId="000031">
    <w:name w:val="heading 9"/>
    <w:basedOn w:val="000020"/>
    <w:next w:val="000020"/>
    <w:link w:val="000032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2f">
    <w:name w:val="heading 8"/>
    <w:basedOn w:val="000020"/>
    <w:next w:val="000020"/>
    <w:link w:val="000030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a6">
    <w:name w:val="Colorful Grid"/>
    <w:basedOn w:val="0000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</w:style>
  <w:style w:type="table" w:styleId="00006f">
    <w:name w:val="Medium List 1 Accent 1"/>
    <w:basedOn w:val="0000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b4" w:customStyle="1">
    <w:name w:val="Intense Quote Char"/>
    <w:basedOn w:val="000033"/>
    <w:link w:val="0000b3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ab">
    <w:name w:val="Colorful Grid Accent 5"/>
    <w:basedOn w:val="0000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paragraph" w:styleId="000025">
    <w:name w:val="heading 3"/>
    <w:basedOn w:val="000020"/>
    <w:next w:val="000020"/>
    <w:link w:val="000026"/>
    <w:uiPriority w:val="9"/>
    <w:unhideWhenUsed w:val="1"/>
    <w:qFormat w:val="1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b w:val="1"/>
      <w:bCs w:val="1"/>
      <w:color w:val="1F1F1F"/>
      <w:sz w:val="24"/>
    </w:rPr>
  </w:style>
  <w:style w:type="character" w:styleId="00003a" w:customStyle="1">
    <w:name w:val="Body Text 3 Char"/>
    <w:basedOn w:val="000033"/>
    <w:link w:val="000039"/>
    <w:uiPriority w:val="99"/>
    <w:rPr>
      <w:sz w:val="16"/>
      <w:szCs w:val="16"/>
    </w:rPr>
  </w:style>
  <w:style w:type="table" w:styleId="000052">
    <w:name w:val="Light List"/>
    <w:basedOn w:val="0000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7">
    <w:name w:val="Light List Accent 5"/>
    <w:basedOn w:val="0000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17">
    <w:name w:val="List Bullet"/>
    <w:basedOn w:val="000020"/>
    <w:uiPriority w:val="99"/>
    <w:unhideWhenUsed w:val="1"/>
    <w:pPr>
      <w:numPr>
        <w:ilvl w:val="0"/>
        <w:numId w:val="4"/>
      </w:numPr>
      <w:spacing w:after="60"/>
      <w:contextualSpacing w:val="1"/>
    </w:pPr>
    <w:rPr>
      <w:rFonts w:ascii="Calibri" w:hAnsi="Calibri" w:eastAsia="微软雅黑"/>
      <w:sz w:val="21"/>
    </w:rPr>
  </w:style>
  <w:style w:type="character" w:styleId="00002e" w:customStyle="1">
    <w:name w:val="Heading 7 Char"/>
    <w:basedOn w:val="000033"/>
    <w:link w:val="00002d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b3">
    <w:name w:val="Intense Quote"/>
    <w:basedOn w:val="000020"/>
    <w:next w:val="000020"/>
    <w:link w:val="0000b4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e">
    <w:name w:val="Light Grid Accent 5"/>
    <w:basedOn w:val="0000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table" w:styleId="000063">
    <w:name w:val="Medium Shading 1 Accent 3"/>
    <w:basedOn w:val="0000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30" w:customStyle="1">
    <w:name w:val="Heading 8 Char"/>
    <w:basedOn w:val="000033"/>
    <w:link w:val="00002f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d">
    <w:name w:val="Medium Shading 2 Accent 6"/>
    <w:basedOn w:val="0000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e">
    <w:name w:val="Medium Grid 3 Accent 4"/>
    <w:basedOn w:val="0000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83">
    <w:name w:val="Medium Grid 2"/>
    <w:basedOn w:val="0000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table" w:styleId="000034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75">
    <w:name w:val="Medium List 2"/>
    <w:basedOn w:val="0000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d">
    <w:name w:val="List 2"/>
    <w:basedOn w:val="000020"/>
    <w:uiPriority w:val="99"/>
    <w:unhideWhenUsed w:val="1"/>
    <w:pPr>
      <w:ind w:left="720" w:hanging="360"/>
      <w:contextualSpacing w:val="1"/>
    </w:pPr>
  </w:style>
  <w:style w:type="table" w:styleId="000081">
    <w:name w:val="Medium Grid 1 Accent 5"/>
    <w:basedOn w:val="0000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c">
    <w:name w:val="Medium Grid 3 Accent 2"/>
    <w:basedOn w:val="0000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a7">
    <w:name w:val="Colorful Grid Accent 1"/>
    <w:basedOn w:val="0000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000086">
    <w:name w:val="Medium Grid 2 Accent 3"/>
    <w:basedOn w:val="0000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2"/>
    <w:basedOn w:val="0000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</w:style>
  <w:style w:type="table" w:styleId="000096">
    <w:name w:val="Dark List Accent 5"/>
    <w:basedOn w:val="0000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99">
    <w:name w:val="Colorful Shading Accent 1"/>
    <w:basedOn w:val="0000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b6" w:customStyle="1">
    <w:name w:val="Intense Emphasis"/>
    <w:basedOn w:val="000033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c">
    <w:name w:val="Light Grid Accent 3"/>
    <w:basedOn w:val="0000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97">
    <w:name w:val="Dark List Accent 6"/>
    <w:basedOn w:val="0000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character" w:styleId="000022" w:customStyle="1">
    <w:name w:val="Heading 1 Char"/>
    <w:basedOn w:val="000033"/>
    <w:link w:val="000021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66">
    <w:name w:val="Medium Shading 1 Accent 6"/>
    <w:basedOn w:val="0000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</w:style>
  <w:style w:type="table" w:styleId="00009c">
    <w:name w:val="Colorful Shading Accent 4"/>
    <w:basedOn w:val="0000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</w:style>
  <w:style w:type="paragraph" w:styleId="000029">
    <w:name w:val="heading 5"/>
    <w:basedOn w:val="000020"/>
    <w:next w:val="000020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7c">
    <w:name w:val="Medium Grid 1"/>
    <w:basedOn w:val="0000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8b">
    <w:name w:val="Medium Grid 3 Accent 1"/>
    <w:basedOn w:val="0000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13">
    <w:name w:val="List Bullet 2"/>
    <w:basedOn w:val="000020"/>
    <w:uiPriority w:val="99"/>
    <w:unhideWhenUsed w:val="1"/>
    <w:pPr>
      <w:numPr>
        <w:ilvl w:val="0"/>
        <w:numId w:val="5"/>
      </w:numPr>
      <w:contextualSpacing w:val="1"/>
    </w:pPr>
  </w:style>
  <w:style w:type="character" w:styleId="000033" w:default="1">
    <w:name w:val="Default Paragraph Font"/>
    <w:uiPriority w:val="1"/>
    <w:semiHidden w:val="1"/>
    <w:unhideWhenUsed w:val="1"/>
  </w:style>
  <w:style w:type="character" w:styleId="000028" w:customStyle="1">
    <w:name w:val="Heading 4 Char"/>
    <w:basedOn w:val="000033"/>
    <w:link w:val="000027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15">
    <w:name w:val="List Number"/>
    <w:basedOn w:val="000020"/>
    <w:uiPriority w:val="99"/>
    <w:unhideWhenUsed w:val="1"/>
    <w:pPr>
      <w:numPr>
        <w:ilvl w:val="0"/>
        <w:numId w:val="6"/>
      </w:numPr>
      <w:spacing w:after="60"/>
      <w:contextualSpacing w:val="1"/>
    </w:pPr>
    <w:rPr>
      <w:rFonts w:ascii="Calibri" w:hAnsi="Calibri" w:eastAsia="微软雅黑"/>
      <w:sz w:val="21"/>
    </w:rPr>
  </w:style>
  <w:style w:type="table" w:styleId="00007f">
    <w:name w:val="Medium Grid 1 Accent 3"/>
    <w:basedOn w:val="0000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7" Type="http://schemas.openxmlformats.org/officeDocument/2006/relationships/header" Target="header1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9" Type="http://schemas.openxmlformats.org/officeDocument/2006/relationships/image" Target="media/image1.png"/><Relationship Id="rId4" Type="http://schemas.openxmlformats.org/officeDocument/2006/relationships/fontTable" Target="fontTable.xml"/><Relationship Id="rId3" Type="http://schemas.openxmlformats.org/officeDocument/2006/relationships/endnotes" Target="endnotes.xml"/><Relationship Id="rId2" Type="http://schemas.openxmlformats.org/officeDocument/2006/relationships/footnotes" Target="footnotes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" Type="http://schemas.openxmlformats.org/officeDocument/2006/relationships/settings" Target="settings.xml"/><Relationship Id="rId12" Type="http://schemas.openxmlformats.org/officeDocument/2006/relationships/image" Target="media/image4.png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2026-08-18T12:47:26Z</dcterms:created>
  <dcterms:modified xsi:type="dcterms:W3CDTF">2026-08-18T12:47:26Z</dcterms:modified>
</cp:coreProperties>
</file>