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5B9BD5"/>
          <w:sz w:val="22"/>
        </w:rPr>
        <w:t>试验设计、效果评价与部署决策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48"/>
        </w:rPr>
        <w:t>草莓静磁场冷藏试验评估与转化验证报告</w:t>
      </w:r>
    </w:p>
    <w:p>
      <w:pPr>
        <w:spacing w:after="320"/>
      </w:pPr>
      <w:r>
        <w:rPr>
          <w:rFonts w:ascii="Calibri" w:hAnsi="Calibri" w:eastAsia="Microsoft YaHei"/>
          <w:color w:val="5F6B7A"/>
          <w:sz w:val="26"/>
        </w:rPr>
        <w:t>小试基线与多基地确证方案 | 4基地 × 2品种 × 2产季 × 2批次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20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20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匹配题号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AG-T8-030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匹配场景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精准农业与生产分析 &gt; 产量预测与田间试验 &gt; 田间试验设计与效果评价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小试基线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7项原始指标、6个时间点、0 mT/5 mT两组、每格3个测量值及表型图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确证范围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四基地、红颜与章姬、冬春与春夏两产季、32个独立批次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当前决策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完成G1设计冻结和G2设备方法放行后启动首批；量产定型提交G5投资决策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E78"/>
                <w:sz w:val="22"/>
              </w:rPr>
              <w:t>立项结论：</w:t>
            </w:r>
            <w:r>
              <w:rPr>
                <w:rFonts w:ascii="Calibri" w:hAnsi="Calibri" w:eastAsia="Microsoft YaHei"/>
                <w:color w:val="1F2937"/>
                <w:sz w:val="22"/>
              </w:rPr>
              <w:t>5 mT小试在15 d的硬度、失重率、WSP、PG、L*和ΔE方向一致，具备进入确证验证的技术信号。项目采用32个独立批次、分层区组随机、三级盲码、设备同版锁定、环境协变量同步采集和分阶段决策。</w:t>
            </w:r>
          </w:p>
        </w:tc>
      </w:tr>
    </w:tbl>
    <w:p>
      <w:pPr>
        <w:spacing w:after="40"/>
      </w:pPr>
    </w:p>
    <w:p>
      <w:pPr>
        <w:pStyle w:val="Heading1"/>
      </w:pPr>
      <w:r>
        <w:t>1 管理结论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在15 d，CR与MF的平均硬度分别为3.00 N和16.23 N。按“硬度下降幅度减缓”公式计算，MF相对CR减缓16.34%；原有55.76%的表述与原始数据不符，已更正。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在15 d，失重率由CR的18.23%降至MF的7.77%，相对降低57.40%；ΔE由16.00降至9.40，相对降低41.25%。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机制指标与硬度方向一致：15 d WSP由10.50 mg/g降至8.00 mg/g（23.81%），PG由26.00 U/kg降至16.80 U/kg（35.38%）。确证阶段将PME、PL、微生物、感官和水分状态纳入预注册检测计划。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E78"/>
                <w:sz w:val="22"/>
              </w:rPr>
              <w:t>启动条件：</w:t>
            </w:r>
            <w:r>
              <w:rPr>
                <w:rFonts w:ascii="Calibri" w:hAnsi="Calibri" w:eastAsia="Microsoft YaHei"/>
                <w:color w:val="1F2937"/>
                <w:sz w:val="22"/>
              </w:rPr>
              <w:t>G1须完成预注册、样本量、随机化盲法和统计分析计划冻结；G2须完成四基地设备IQ/OQ、108点测场、温升、电磁兼容、校准、环境采集和检测方法确认。</w:t>
            </w:r>
          </w:p>
        </w:tc>
      </w:tr>
    </w:tbl>
    <w:p>
      <w:pPr>
        <w:spacing w:after="40"/>
      </w:pPr>
    </w:p>
    <w:p>
      <w:pPr>
        <w:pStyle w:val="Heading1"/>
      </w:pPr>
      <w:r>
        <w:t>2 项目工作流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项目按AG-T8-030“田间试验设计与效果评价”组织，将5 mT小试信号扩展到多基地、多品种、跨产季、商业冷库和运输场景。工作流从假设冻结开始，经设备方法放行、批次执行、独立复核、商业冷库试运行和经营评审，形成继续、限定或停止决策。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900"/>
        <w:gridCol w:w="3000"/>
        <w:gridCol w:w="2600"/>
        <w:gridCol w:w="28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阶段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工作内容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输入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输出/门槛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 立项与预注册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冻结主要假设、终点、最小有意义差异、排除规则和阶段门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小试基线、经营台账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G0/G1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2 设计与资源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安排4基地、2品种、2产季和32个独立批次，完成样本量与损耗冗余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基地计划、样本量规划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G1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3 设备与方法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同版设备确认、108点测场、温升、EMC、能耗、校准和检测QC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设备主数据、环境规范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G2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4 批次执行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分层区组随机、三级盲码、样本链路和环境同步采集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随机表、链路、采样计划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G2/G3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5 统计与复核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混合效应、GLMM、生存分析、效应量、95%CI、Holm和第三方复核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锁库数据、SAP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G3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6 转化与经营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商业冷库、运输压力、货架期、放行率、报损、能耗、维修和折旧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SOP、经营门槛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G4/G5</w:t>
            </w:r>
          </w:p>
        </w:tc>
      </w:tr>
    </w:tbl>
    <w:p>
      <w:pPr>
        <w:spacing w:after="40"/>
      </w:pPr>
    </w:p>
    <w:p>
      <w:pPr>
        <w:pStyle w:val="Heading1"/>
      </w:pPr>
      <w:r>
        <w:t>3 数据与试验设计审查</w:t>
      </w:r>
    </w:p>
    <w:p>
      <w:pPr>
        <w:pStyle w:val="Heading2"/>
      </w:pPr>
      <w:r>
        <w:t>3.1 数据完整性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500"/>
        <w:gridCol w:w="2200"/>
        <w:gridCol w:w="1800"/>
        <w:gridCol w:w="3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数据层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规模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完整性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关键限制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原始指标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7项×6时间点×2处理×3重复=252个值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无缺失；时间点一致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重复独立性未说明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表型图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CR/MF×6时间点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组合图完整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小试外观记录；确证阶段按盲法量表采集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经营基线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6批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数量、单价、成本字段完整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G0核对负向记录和15.2 kg差额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库存流水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96条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逐行平衡通过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出库与销售净量差15.2 kg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销售流水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21条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收入乘法误差≤0.01元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2条负向记录用途不明</w:t>
            </w:r>
          </w:p>
        </w:tc>
      </w:tr>
    </w:tbl>
    <w:p>
      <w:pPr>
        <w:spacing w:after="40"/>
      </w:pPr>
    </w:p>
    <w:p>
      <w:pPr>
        <w:pStyle w:val="Heading2"/>
      </w:pPr>
      <w:r>
        <w:t>3.2 小试设计审查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小试明确处理组、时间点和每格3个测量值，未形成批次级样本ID、分组随机化、检测盲法、温度连续记录和货位测场记录。确证方案据此新增独立批次、分层区组、三级盲码、设备环境日志和样本链路。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小试结果按均值、SD和时点差复核；确证结论以预注册主要终点、混合效应模型和第三方复核为准。零方差时点保留原值，模型诊断和敏感性分析在锁库后按SAP执行。</w:t>
      </w:r>
    </w:p>
    <w:p>
      <w:pPr>
        <w:pStyle w:val="Heading2"/>
      </w:pPr>
      <w:r>
        <w:t>3.3 口径冲突与纠正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主题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冲突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采用口径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硬度</w:t>
            </w:r>
          </w:p>
        </w:tc>
        <w:tc>
          <w:tcPr>
            <w:tcW w:type="dxa" w:w="3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55.76%无法由原始表按常见公式复现</w:t>
            </w:r>
          </w:p>
        </w:tc>
        <w:tc>
          <w:tcPr>
            <w:tcW w:type="dxa" w:w="42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15 d端点差13.23 N；下降幅度减缓16.34%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失重率</w:t>
            </w:r>
          </w:p>
        </w:tc>
        <w:tc>
          <w:tcPr>
            <w:tcW w:type="dxa" w:w="3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57.14%使用了舍入后的单值</w:t>
            </w:r>
          </w:p>
        </w:tc>
        <w:tc>
          <w:tcPr>
            <w:tcW w:type="dxa" w:w="42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按三重复均值计算57.40%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ΔE</w:t>
            </w:r>
          </w:p>
        </w:tc>
        <w:tc>
          <w:tcPr>
            <w:tcW w:type="dxa" w:w="3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41.12%舍入口径不明，且缺b*</w:t>
            </w:r>
          </w:p>
        </w:tc>
        <w:tc>
          <w:tcPr>
            <w:tcW w:type="dxa" w:w="42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按提供的ΔE均值计算41.25%；不独立复算ΔE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PG</w:t>
            </w:r>
          </w:p>
        </w:tc>
        <w:tc>
          <w:tcPr>
            <w:tcW w:type="dxa" w:w="3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“降低1.55倍”语义含混</w:t>
            </w:r>
          </w:p>
        </w:tc>
        <w:tc>
          <w:tcPr>
            <w:tcW w:type="dxa" w:w="42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CR/MF=1.55；MF相对CR低35.38%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损耗</w:t>
            </w:r>
          </w:p>
        </w:tc>
        <w:tc>
          <w:tcPr>
            <w:tcW w:type="dxa" w:w="3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实验失重率与库存报损率曾混用</w:t>
            </w:r>
          </w:p>
        </w:tc>
        <w:tc>
          <w:tcPr>
            <w:tcW w:type="dxa" w:w="42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分别定义；经营基线报损率11.94%</w:t>
            </w:r>
          </w:p>
        </w:tc>
      </w:tr>
    </w:tbl>
    <w:p>
      <w:pPr>
        <w:spacing w:after="40"/>
      </w:pPr>
    </w:p>
    <w:p>
      <w:pPr>
        <w:pStyle w:val="Heading2"/>
      </w:pPr>
      <w:r>
        <w:t>3.4 多基地确证覆盖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760"/>
        <w:gridCol w:w="1400"/>
        <w:gridCol w:w="1000"/>
        <w:gridCol w:w="1100"/>
        <w:gridCol w:w="1100"/>
        <w:gridCol w:w="1900"/>
        <w:gridCol w:w="210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6"/>
              </w:rPr>
              <w:t>基地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6"/>
              </w:rPr>
              <w:t>名称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6"/>
              </w:rPr>
              <w:t>品种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6"/>
              </w:rPr>
              <w:t>产季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6"/>
              </w:rPr>
              <w:t>独立批次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6"/>
              </w:rPr>
              <w:t>冷库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6"/>
              </w:rPr>
              <w:t>运输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B01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粤西基地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红颜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冬春季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商业冷库C01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干线R01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B01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粤西基地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红颜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春夏季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商业冷库C01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干线R01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B01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粤西基地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章姬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冬春季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商业冷库C01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干线R01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B01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粤西基地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章姬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春夏季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商业冷库C01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干线R01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B02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桂中基地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红颜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冬春季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商业冷库C02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干线R02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B02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桂中基地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红颜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春夏季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商业冷库C02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干线R02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B02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桂中基地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章姬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冬春季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商业冷库C02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干线R02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B02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桂中基地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章姬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春夏季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商业冷库C02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干线R02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B03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滇中基地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红颜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冬春季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商业冷库C03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干线R03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B03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滇中基地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红颜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春夏季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商业冷库C03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干线R03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B03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滇中基地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章姬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冬春季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商业冷库C03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干线R03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B03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滇中基地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章姬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春夏季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商业冷库C03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干线R03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B04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川西基地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红颜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冬春季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商业冷库C04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干线R04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B04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川西基地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红颜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春夏季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商业冷库C04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干线R04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B04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川西基地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章姬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冬春季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商业冷库C04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干线R04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B04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川西基地</w:t>
            </w:r>
          </w:p>
        </w:tc>
        <w:tc>
          <w:tcPr>
            <w:tcW w:type="dxa" w:w="1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章姬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春夏季</w:t>
            </w:r>
          </w:p>
        </w:tc>
        <w:tc>
          <w:tcPr>
            <w:tcW w:type="dxa" w:w="1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商业冷库C04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干线R04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四基地各安排8个批次，每品种16个批次、每产季16个批次，总计32个独立批次。批次内比较0 mT对照和5 mT连续处理，基地、品种、产季、批次与区组进入统计层级结构。</w:t>
      </w:r>
    </w:p>
    <w:p>
      <w:pPr>
        <w:pStyle w:val="Heading2"/>
      </w:pPr>
      <w:r>
        <w:t>3.5 样本量与采样配置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600"/>
        <w:gridCol w:w="3700"/>
        <w:gridCol w:w="30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项目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参数/公式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结果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硬度最小有意义差异</w:t>
            </w:r>
          </w:p>
        </w:tc>
        <w:tc>
          <w:tcPr>
            <w:tcW w:type="dxa" w:w="3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δ=4 N</w:t>
            </w:r>
          </w:p>
        </w:tc>
        <w:tc>
          <w:tcPr>
            <w:tcW w:type="dxa" w:w="30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预注册门槛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批次配对差标准差</w:t>
            </w:r>
          </w:p>
        </w:tc>
        <w:tc>
          <w:tcPr>
            <w:tcW w:type="dxa" w:w="3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σd=6 N</w:t>
            </w:r>
          </w:p>
        </w:tc>
        <w:tc>
          <w:tcPr>
            <w:tcW w:type="dxa" w:w="30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首批中期复核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显著性与效能</w:t>
            </w:r>
          </w:p>
        </w:tc>
        <w:tc>
          <w:tcPr>
            <w:tcW w:type="dxa" w:w="3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双侧α=0.05；效能80%</w:t>
            </w:r>
          </w:p>
        </w:tc>
        <w:tc>
          <w:tcPr>
            <w:tcW w:type="dxa" w:w="30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Zα/2=1.96；Zβ=0.84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原始独立批次</w:t>
            </w:r>
          </w:p>
        </w:tc>
        <w:tc>
          <w:tcPr>
            <w:tcW w:type="dxa" w:w="3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(1.96+0.84)²×6²/4²</w:t>
            </w:r>
          </w:p>
        </w:tc>
        <w:tc>
          <w:tcPr>
            <w:tcW w:type="dxa" w:w="30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向上取整18批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损耗调整</w:t>
            </w:r>
          </w:p>
        </w:tc>
        <w:tc>
          <w:tcPr>
            <w:tcW w:type="dxa" w:w="3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18/(1-15%)</w:t>
            </w:r>
          </w:p>
        </w:tc>
        <w:tc>
          <w:tcPr>
            <w:tcW w:type="dxa" w:w="30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向上取整22批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计划规模</w:t>
            </w:r>
          </w:p>
        </w:tc>
        <w:tc>
          <w:tcPr>
            <w:tcW w:type="dxa" w:w="3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4×2×2×2</w:t>
            </w:r>
          </w:p>
        </w:tc>
        <w:tc>
          <w:tcPr>
            <w:tcW w:type="dxa" w:w="30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32批；覆盖率145.45%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理化检测样品</w:t>
            </w:r>
          </w:p>
        </w:tc>
        <w:tc>
          <w:tcPr>
            <w:tcW w:type="dxa" w:w="3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32×2处理×6时间点×(12+2)</w:t>
            </w:r>
          </w:p>
        </w:tc>
        <w:tc>
          <w:tcPr>
            <w:tcW w:type="dxa" w:w="30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5,376枚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货架期随访</w:t>
            </w:r>
          </w:p>
        </w:tc>
        <w:tc>
          <w:tcPr>
            <w:tcW w:type="dxa" w:w="3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32×2处理×20枚</w:t>
            </w:r>
          </w:p>
        </w:tc>
        <w:tc>
          <w:tcPr>
            <w:tcW w:type="dxa" w:w="30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1,280枚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E78"/>
                <w:sz w:val="22"/>
              </w:rPr>
              <w:t>样品配置：</w:t>
            </w:r>
            <w:r>
              <w:rPr>
                <w:rFonts w:ascii="Calibri" w:hAnsi="Calibri" w:eastAsia="Microsoft YaHei"/>
                <w:color w:val="1F2937"/>
                <w:sz w:val="22"/>
              </w:rPr>
              <w:t>每批次、每处理、每时间点设12枚有效样品和2枚损耗预留；腐烂与首次不可售时间另设每批次、每处理20枚连续随访样品。</w:t>
            </w:r>
          </w:p>
        </w:tc>
      </w:tr>
    </w:tbl>
    <w:p>
      <w:pPr>
        <w:spacing w:after="40"/>
      </w:pPr>
    </w:p>
    <w:p>
      <w:pPr>
        <w:pStyle w:val="Heading2"/>
      </w:pPr>
      <w:r>
        <w:t>3.6 因子、随机化与样本链路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500"/>
        <w:gridCol w:w="3100"/>
        <w:gridCol w:w="3000"/>
        <w:gridCol w:w="1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设计层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因素/控制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执行方式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记录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筛选阶段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0/5/10 mT、连续/间歇、4/8℃、透气盒/微孔膜、静置/模拟运输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随机区组；0 mT平行对照</w:t>
            </w:r>
          </w:p>
        </w:tc>
        <w:tc>
          <w:tcPr>
            <w:tcW w:type="dxa" w:w="1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40个有效组合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确证阶段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 mT与5 mT连续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批次内分层区组随机</w:t>
            </w:r>
          </w:p>
        </w:tc>
        <w:tc>
          <w:tcPr>
            <w:tcW w:type="dxa" w:w="1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32批次×2处理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分层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成熟度±0.5级、果径±3 mm、初始质量±2 g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分层后生成区组</w:t>
            </w:r>
          </w:p>
        </w:tc>
        <w:tc>
          <w:tcPr>
            <w:tcW w:type="dxa" w:w="1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分层清单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三级盲码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样本码、检测码、分析码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设备操作员持处理映射，质量负责人保管盲码</w:t>
            </w:r>
          </w:p>
        </w:tc>
        <w:tc>
          <w:tcPr>
            <w:tcW w:type="dxa" w:w="1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数据锁库后双签揭盲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链路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收货—分层—处理—转运—检测—锁库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批次ID、封签号和时间戳衔接</w:t>
            </w:r>
          </w:p>
        </w:tc>
        <w:tc>
          <w:tcPr>
            <w:tcW w:type="dxa" w:w="1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交接单、设备日志、原始文件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3.7 设备确认与环境同步记录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400"/>
        <w:gridCol w:w="2000"/>
        <w:gridCol w:w="900"/>
        <w:gridCol w:w="2200"/>
        <w:gridCol w:w="28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基地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设备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版本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磁场放行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其他放行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B01 粤西</w:t>
            </w:r>
          </w:p>
        </w:tc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DEV-01 / MFG-5C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V1.0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5.00±0.25 mT；CV≤5%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温升≤0.3℃；EMC；校准；独立电表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B02 桂中</w:t>
            </w:r>
          </w:p>
        </w:tc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DEV-02 / MFG-5C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V1.0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5.00±0.25 mT；CV≤5%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温升≤0.3℃；EMC；校准；独立电表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B03 滇中</w:t>
            </w:r>
          </w:p>
        </w:tc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DEV-03 / MFG-5C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V1.0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5.00±0.25 mT；CV≤5%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温升≤0.3℃；EMC；校准；独立电表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B04 川西</w:t>
            </w:r>
          </w:p>
        </w:tc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DEV-04 / MFG-5C</w:t>
            </w:r>
          </w:p>
        </w:tc>
        <w:tc>
          <w:tcPr>
            <w:tcW w:type="dxa" w:w="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V1.0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5.00±0.25 mT；CV≤5%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温升≤0.3℃；EMC；校准；独立电表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每台设备按3×3×3网格完成27点测场，四台设备共108个测点。设备型号、软件、线圈配置和校准周期在G2放行后锁定；变更按偏差和版本控制执行。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200"/>
        <w:gridCol w:w="1400"/>
        <w:gridCol w:w="3100"/>
        <w:gridCol w:w="26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记录字段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频率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控制范围/触发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处理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磁场开关与强度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 min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5.00±0.25 mT；连续5 min越界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暂停处理并隔离批次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冷库温度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 min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4.0±0.5℃；连续15 min越界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评估批次有效性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相对湿度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5 min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85%-95%；连续30 min越界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纳入协变量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门开启与装载率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事件/每批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单次≤5 min；装载率40%-80%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调整区组或暂停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运输振动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10 Hz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RMS≤1.5 m/s²；峰值&gt;4.0 m/s²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启动运输压力复核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停电与设备故障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事件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任一关键事件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隔离批次并启动RCA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能耗</w:t>
            </w:r>
          </w:p>
        </w:tc>
        <w:tc>
          <w:tcPr>
            <w:tcW w:type="dxa" w:w="1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15 min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缺失≤1%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按批归集至经营模型</w:t>
            </w:r>
          </w:p>
        </w:tc>
      </w:tr>
    </w:tbl>
    <w:p>
      <w:pPr>
        <w:spacing w:after="40"/>
      </w:pPr>
    </w:p>
    <w:p>
      <w:pPr>
        <w:pStyle w:val="Heading2"/>
      </w:pPr>
      <w:r>
        <w:t>3.8 端点与统计分析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400"/>
        <w:gridCol w:w="2600"/>
        <w:gridCol w:w="2000"/>
        <w:gridCol w:w="33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终点组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指标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时间点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分析与判定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主要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15 d硬度</w:t>
            </w:r>
          </w:p>
        </w:tc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0/3/6/9/12/15 d</w:t>
            </w:r>
          </w:p>
        </w:tc>
        <w:tc>
          <w:tcPr>
            <w:tcW w:type="dxa" w:w="3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线性混合模型；差值≥4 N；95%CI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主要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15 d腐烂率</w:t>
            </w:r>
          </w:p>
        </w:tc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3/6/9/12/15/17 d</w:t>
            </w:r>
          </w:p>
        </w:tc>
        <w:tc>
          <w:tcPr>
            <w:tcW w:type="dxa" w:w="3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二项GLMM；绝对降低≥15个百分点；95%CI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商品性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首次不可售时间</w:t>
            </w:r>
          </w:p>
        </w:tc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每日</w:t>
            </w:r>
          </w:p>
        </w:tc>
        <w:tc>
          <w:tcPr>
            <w:tcW w:type="dxa" w:w="3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Cox脆弱性模型；中位货架期延长≥2 d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次要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失重、L*、a*、ΔE</w:t>
            </w:r>
          </w:p>
        </w:tc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0/3/6/9/12/15 d</w:t>
            </w:r>
          </w:p>
        </w:tc>
        <w:tc>
          <w:tcPr>
            <w:tcW w:type="dxa" w:w="3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混合模型；效应量和95%CI；Holm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机制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WSP、PG、PME、PL</w:t>
            </w:r>
          </w:p>
        </w:tc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0/6/12/15 d</w:t>
            </w:r>
          </w:p>
        </w:tc>
        <w:tc>
          <w:tcPr>
            <w:tcW w:type="dxa" w:w="3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混合模型；Holm；跨实验室QC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安全与感官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菌落、霉菌酵母、9点评分</w:t>
            </w:r>
          </w:p>
        </w:tc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0/6/12/15/17 d</w:t>
            </w:r>
          </w:p>
        </w:tc>
        <w:tc>
          <w:tcPr>
            <w:tcW w:type="dxa" w:w="3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GLMM/累积链接混合模型</w:t>
            </w:r>
          </w:p>
        </w:tc>
      </w:tr>
      <w:tr>
        <w:tc>
          <w:tcPr>
            <w:tcW w:type="dxa" w:w="14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水分状态</w:t>
            </w:r>
          </w:p>
        </w:tc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可移动水比例</w:t>
            </w:r>
          </w:p>
        </w:tc>
        <w:tc>
          <w:tcPr>
            <w:tcW w:type="dxa" w:w="2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0/6/12/15 d</w:t>
            </w:r>
          </w:p>
        </w:tc>
        <w:tc>
          <w:tcPr>
            <w:tcW w:type="dxa" w:w="3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混合模型；与硬度变化联合解释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固定效应包括处理、时间、处理×时间、品种、产季和运输；基地、批次、区组及必要的样本或评委效应作为随机项。报告差值、风险差、风险比、HR、95%置信区间和预测区间，并完成残差、过度离散、比例风险、多重性、缺失和高影响批次复核。</w:t>
      </w:r>
    </w:p>
    <w:p>
      <w:pPr>
        <w:pStyle w:val="Heading1"/>
      </w:pPr>
      <w:r>
        <w:t>4 技术效果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800"/>
        <w:gridCol w:w="1300"/>
        <w:gridCol w:w="1300"/>
        <w:gridCol w:w="1500"/>
        <w:gridCol w:w="3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15 d指标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CR均值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MF均值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MF相对CR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证据解释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硬度 (N)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3.00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16.23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+441.11%</w:t>
            </w:r>
          </w:p>
        </w:tc>
        <w:tc>
          <w:tcPr>
            <w:tcW w:type="dxa" w:w="3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MF保持更高硬度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失重率 (%)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18.23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7.77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-57.40%</w:t>
            </w:r>
          </w:p>
        </w:tc>
        <w:tc>
          <w:tcPr>
            <w:tcW w:type="dxa" w:w="3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MF失重更低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WSP (mg/g)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10.50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8.00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-23.81%</w:t>
            </w:r>
          </w:p>
        </w:tc>
        <w:tc>
          <w:tcPr>
            <w:tcW w:type="dxa" w:w="3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与较少果胶溶解方向一致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PG (U/kg)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26.00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16.80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-35.38%</w:t>
            </w:r>
          </w:p>
        </w:tc>
        <w:tc>
          <w:tcPr>
            <w:tcW w:type="dxa" w:w="3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与较低果胶降解活性方向一致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L*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25.80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33.50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+29.84%</w:t>
            </w:r>
          </w:p>
        </w:tc>
        <w:tc>
          <w:tcPr>
            <w:tcW w:type="dxa" w:w="3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MF保持更高亮度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a*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28.00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30.20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+7.86%</w:t>
            </w:r>
          </w:p>
        </w:tc>
        <w:tc>
          <w:tcPr>
            <w:tcW w:type="dxa" w:w="3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需结合成熟过程解释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ΔE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16.00</w:t>
            </w:r>
          </w:p>
        </w:tc>
        <w:tc>
          <w:tcPr>
            <w:tcW w:type="dxa" w:w="1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9.40</w:t>
            </w:r>
          </w:p>
        </w:tc>
        <w:tc>
          <w:tcPr>
            <w:tcW w:type="dxa" w:w="1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-41.25%</w:t>
            </w:r>
          </w:p>
        </w:tc>
        <w:tc>
          <w:tcPr>
            <w:tcW w:type="dxa" w:w="3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MF综合色差更低</w:t>
            </w:r>
          </w:p>
        </w:tc>
      </w:tr>
    </w:tbl>
    <w:p>
      <w:pPr>
        <w:spacing w:after="40"/>
      </w:pPr>
    </w:p>
    <w:p>
      <w:pPr>
        <w:pStyle w:val="Heading2"/>
      </w:pPr>
      <w:r>
        <w:t>4.1 硬度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ard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Microsoft YaHei"/>
          <w:b/>
          <w:color w:val="1F2937"/>
          <w:sz w:val="19"/>
        </w:rPr>
        <w:t>图4-1 硬度随冷藏时间变化（均值±SD，n=3）</w:t>
      </w:r>
    </w:p>
    <w:p>
      <w:pPr>
        <w:spacing w:before="80" w:after="80"/>
      </w:pPr>
      <w:r>
        <w:rPr>
          <w:rFonts w:ascii="Calibri" w:hAnsi="Calibri" w:eastAsia="Microsoft YaHei"/>
          <w:i/>
          <w:color w:val="5F6B7A"/>
          <w:sz w:val="17"/>
        </w:rPr>
        <w:t>证据位置：硬度 (Hardness, N).xlsx / A1:G8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两组起点均为84.00 N。15 d时MF比CR高13.23 N；按下降幅度计算，MF减缓16.34%。</w:t>
      </w:r>
    </w:p>
    <w:p>
      <w:r>
        <w:br w:type="page"/>
      </w:r>
    </w:p>
    <w:p>
      <w:pPr>
        <w:pStyle w:val="Heading2"/>
      </w:pPr>
      <w:r>
        <w:t>4.2 失重率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weight_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Microsoft YaHei"/>
          <w:b/>
          <w:color w:val="1F2937"/>
          <w:sz w:val="19"/>
        </w:rPr>
        <w:t>图4-2 失重率随冷藏时间变化（均值±SD，n=3）</w:t>
      </w:r>
    </w:p>
    <w:p>
      <w:pPr>
        <w:spacing w:before="80" w:after="80"/>
      </w:pPr>
      <w:r>
        <w:rPr>
          <w:rFonts w:ascii="Calibri" w:hAnsi="Calibri" w:eastAsia="Microsoft YaHei"/>
          <w:i/>
          <w:color w:val="5F6B7A"/>
          <w:sz w:val="17"/>
        </w:rPr>
        <w:t>证据位置：失重率 (Weight loss, %).xlsx / A1:G8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MF从3 d开始持续低于CR，15 d相对降低57.40%。该指标是果实质量变化，不等同于经营库存报损率。</w:t>
      </w:r>
    </w:p>
    <w:p>
      <w:r>
        <w:br w:type="page"/>
      </w:r>
    </w:p>
    <w:p>
      <w:pPr>
        <w:pStyle w:val="Heading2"/>
      </w:pPr>
      <w:r>
        <w:t>4.3 水溶性果胶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ws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Microsoft YaHei"/>
          <w:b/>
          <w:color w:val="1F2937"/>
          <w:sz w:val="19"/>
        </w:rPr>
        <w:t>图4-3 水溶性果胶随冷藏时间变化（均值±SD，n=3）</w:t>
      </w:r>
    </w:p>
    <w:p>
      <w:pPr>
        <w:spacing w:before="80" w:after="80"/>
      </w:pPr>
      <w:r>
        <w:rPr>
          <w:rFonts w:ascii="Calibri" w:hAnsi="Calibri" w:eastAsia="Microsoft YaHei"/>
          <w:i/>
          <w:color w:val="5F6B7A"/>
          <w:sz w:val="17"/>
        </w:rPr>
        <w:t>证据位置：水溶性果胶 (WSP, mg-g).xlsx / A1:G8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15 d MF比CR低23.81%，与硬度保持方向一致。确证阶段联合PG、PME、PL和水分状态检验处理×时间路径。</w:t>
      </w:r>
    </w:p>
    <w:p>
      <w:r>
        <w:br w:type="page"/>
      </w:r>
    </w:p>
    <w:p>
      <w:pPr>
        <w:pStyle w:val="Heading2"/>
      </w:pPr>
      <w:r>
        <w:t>4.4 多聚半乳糖醛酸酶活性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Microsoft YaHei"/>
          <w:b/>
          <w:color w:val="1F2937"/>
          <w:sz w:val="19"/>
        </w:rPr>
        <w:t>图4-4 多聚半乳糖醛酸酶活性随冷藏时间变化（均值±SD，n=3）</w:t>
      </w:r>
    </w:p>
    <w:p>
      <w:pPr>
        <w:spacing w:before="80" w:after="80"/>
      </w:pPr>
      <w:r>
        <w:rPr>
          <w:rFonts w:ascii="Calibri" w:hAnsi="Calibri" w:eastAsia="Microsoft YaHei"/>
          <w:i/>
          <w:color w:val="5F6B7A"/>
          <w:sz w:val="17"/>
        </w:rPr>
        <w:t>证据位置：多聚半乳糖醛酸酶活性 (PG activity, U-kg).xlsx / A1:G8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15 d MF比CR低35.38%。小试以PG作为酶学基线，确证阶段新增PME和PL并执行跨实验室QC。</w:t>
      </w:r>
    </w:p>
    <w:p>
      <w:r>
        <w:br w:type="page"/>
      </w:r>
    </w:p>
    <w:p>
      <w:pPr>
        <w:pStyle w:val="Heading2"/>
      </w:pPr>
      <w:r>
        <w:t>4.5 颜色L*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_st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Microsoft YaHei"/>
          <w:b/>
          <w:color w:val="1F2937"/>
          <w:sz w:val="19"/>
        </w:rPr>
        <w:t>图4-5 颜色L*随冷藏时间变化（均值±SD，n=3）</w:t>
      </w:r>
    </w:p>
    <w:p>
      <w:pPr>
        <w:spacing w:before="80" w:after="80"/>
      </w:pPr>
      <w:r>
        <w:rPr>
          <w:rFonts w:ascii="Calibri" w:hAnsi="Calibri" w:eastAsia="Microsoft YaHei"/>
          <w:i/>
          <w:color w:val="5F6B7A"/>
          <w:sz w:val="17"/>
        </w:rPr>
        <w:t>证据位置：颜色 L★ (亮度).xlsx / A1:G8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MF在3-15 d均保持更高L*，说明亮度下降较慢；0 d两组差异很小。</w:t>
      </w:r>
    </w:p>
    <w:p>
      <w:r>
        <w:br w:type="page"/>
      </w:r>
    </w:p>
    <w:p>
      <w:pPr>
        <w:pStyle w:val="Heading2"/>
      </w:pPr>
      <w:r>
        <w:t>4.6 颜色a*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_st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Microsoft YaHei"/>
          <w:b/>
          <w:color w:val="1F2937"/>
          <w:sz w:val="19"/>
        </w:rPr>
        <w:t>图4-6 颜色a*随冷藏时间变化（均值±SD，n=3）</w:t>
      </w:r>
    </w:p>
    <w:p>
      <w:pPr>
        <w:spacing w:before="80" w:after="80"/>
      </w:pPr>
      <w:r>
        <w:rPr>
          <w:rFonts w:ascii="Calibri" w:hAnsi="Calibri" w:eastAsia="Microsoft YaHei"/>
          <w:i/>
          <w:color w:val="5F6B7A"/>
          <w:sz w:val="17"/>
        </w:rPr>
        <w:t>证据位置：颜色 a★ (红绿度).xlsx / A1:G8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a*呈先升后降，MF后期较高。确证阶段结合成熟度分层、L*、ΔE和感官评分进行综合判定。</w:t>
      </w:r>
    </w:p>
    <w:p>
      <w:r>
        <w:br w:type="page"/>
      </w:r>
    </w:p>
    <w:p>
      <w:pPr>
        <w:pStyle w:val="Heading2"/>
      </w:pPr>
      <w:r>
        <w:t>4.7 总色差ΔE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1272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elta_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Microsoft YaHei"/>
          <w:b/>
          <w:color w:val="1F2937"/>
          <w:sz w:val="19"/>
        </w:rPr>
        <w:t>图4-7 总色差ΔE随冷藏时间变化（均值±SD，n=3）</w:t>
      </w:r>
    </w:p>
    <w:p>
      <w:pPr>
        <w:spacing w:before="80" w:after="80"/>
      </w:pPr>
      <w:r>
        <w:rPr>
          <w:rFonts w:ascii="Calibri" w:hAnsi="Calibri" w:eastAsia="Microsoft YaHei"/>
          <w:i/>
          <w:color w:val="5F6B7A"/>
          <w:sz w:val="17"/>
        </w:rPr>
        <w:t>证据位置：总色差 ΔE.xlsx / A1:G8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15 d MF的ΔE相对CR低41.25%。小试按源表ΔE复核；确证阶段保存完整L*a*b*、基准色和仪器原始文件。</w:t>
      </w:r>
    </w:p>
    <w:p>
      <w:r>
        <w:br w:type="page"/>
      </w:r>
    </w:p>
    <w:p>
      <w:pPr>
        <w:pStyle w:val="Heading1"/>
      </w:pPr>
      <w:r>
        <w:t>5 表型与跨指标一致性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1855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献一表型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55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Microsoft YaHei"/>
          <w:b/>
          <w:color w:val="1F2937"/>
          <w:sz w:val="19"/>
        </w:rPr>
        <w:t>图5-1 CR与MF在0-15 d的代表性外观</w:t>
      </w:r>
    </w:p>
    <w:p>
      <w:pPr>
        <w:spacing w:before="80" w:after="80"/>
      </w:pPr>
      <w:r>
        <w:rPr>
          <w:rFonts w:ascii="Calibri" w:hAnsi="Calibri" w:eastAsia="Microsoft YaHei"/>
          <w:i/>
          <w:color w:val="5F6B7A"/>
          <w:sz w:val="17"/>
        </w:rPr>
        <w:t>证据位置：文献一表型图.png / 图A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组合图中CR后期出现更明显的暗化、失水和表面损伤，MF后期外观相对完整；该方向与硬度、失重率、L*和ΔE一致。确证阶段按统一布光、盲码、腐烂量表和9点评分记录外观与商品性，并保存单果图像和样本ID。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E78"/>
                <w:sz w:val="22"/>
              </w:rPr>
              <w:t>机制验证：</w:t>
            </w:r>
            <w:r>
              <w:rPr>
                <w:rFonts w:ascii="Calibri" w:hAnsi="Calibri" w:eastAsia="Microsoft YaHei"/>
                <w:color w:val="1F2937"/>
                <w:sz w:val="22"/>
              </w:rPr>
              <w:t>PG、WSP、PME、PL、水分状态、硬度和腐烂率按预注册时间点联合采集，通过处理×时间效应、跨基地复现和第三方复核检验软化路径。</w:t>
            </w:r>
          </w:p>
        </w:tc>
      </w:tr>
    </w:tbl>
    <w:p>
      <w:pPr>
        <w:spacing w:after="40"/>
      </w:pPr>
    </w:p>
    <w:p>
      <w:pPr>
        <w:pStyle w:val="Heading1"/>
      </w:pPr>
      <w:r>
        <w:t>6 项目治理、评审与RCA</w:t>
      </w:r>
    </w:p>
    <w:p>
      <w:pPr>
        <w:pStyle w:val="Heading2"/>
      </w:pPr>
      <w:r>
        <w:t>6.1 独立职责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700"/>
        <w:gridCol w:w="3300"/>
        <w:gridCol w:w="2700"/>
        <w:gridCol w:w="1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组织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职责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主要文件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决策权限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统计组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冻结假设、终点、样本量和SAP；锁库后分析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预注册、SAP、统计报告</w:t>
            </w:r>
          </w:p>
        </w:tc>
        <w:tc>
          <w:tcPr>
            <w:tcW w:type="dxa" w:w="1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统计签字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研发组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处理工艺、取样、检测方法和机制端点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试验方案、方法确认</w:t>
            </w:r>
          </w:p>
        </w:tc>
        <w:tc>
          <w:tcPr>
            <w:tcW w:type="dxa" w:w="1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技术签字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质量组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盲码、链路、偏差、排除清单和数据锁库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随机表、链路、偏差台账</w:t>
            </w:r>
          </w:p>
        </w:tc>
        <w:tc>
          <w:tcPr>
            <w:tcW w:type="dxa" w:w="1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放行/拒收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运营组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冷库、装载、运输、能耗和故障记录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环境日志、设备和成本台账</w:t>
            </w:r>
          </w:p>
        </w:tc>
        <w:tc>
          <w:tcPr>
            <w:tcW w:type="dxa" w:w="1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运行签字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第三方实验室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复测硬度、腐烂率和微生物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复核报告、原始记录</w:t>
            </w:r>
          </w:p>
        </w:tc>
        <w:tc>
          <w:tcPr>
            <w:tcW w:type="dxa" w:w="1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独立意见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项目委员会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阶段门、范围、资源和继续停止决策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评审纪要、决策单</w:t>
            </w:r>
          </w:p>
        </w:tc>
        <w:tc>
          <w:tcPr>
            <w:tcW w:type="dxa" w:w="1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继续/限定/停止</w:t>
            </w:r>
          </w:p>
        </w:tc>
      </w:tr>
    </w:tbl>
    <w:p>
      <w:pPr>
        <w:spacing w:after="40"/>
      </w:pPr>
    </w:p>
    <w:p>
      <w:pPr>
        <w:pStyle w:val="Heading2"/>
      </w:pPr>
      <w:r>
        <w:t>6.2 24轮批次与阶段评审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000"/>
        <w:gridCol w:w="1200"/>
        <w:gridCol w:w="4300"/>
        <w:gridCol w:w="28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6"/>
              </w:rPr>
              <w:t>轮次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6"/>
              </w:rPr>
              <w:t>阶段门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6"/>
              </w:rPr>
              <w:t>主题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6"/>
              </w:rPr>
              <w:t>决策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R01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G0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项目章程与责任签署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立项/退回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R02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G1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主要假设与终点冻结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通过/修订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R03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G1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样本量与损耗冗余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通过/增补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R04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G1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基地和批次覆盖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通过/调整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R05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G2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设备IQ/OQ方案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放行/整改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R06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G2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环境采集与报警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放行/整改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R07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G1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随机化、盲法和链路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放行/整改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R08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G2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检测方法与QC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放行/整改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R09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G2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首批执行准备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启动/延期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R10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G3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首批数据质量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接受/RCA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R11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G3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第二基地复现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继续/调整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R12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G3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第一产季中期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继续/暂停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R13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G3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第一产季结题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进入第二产季/修订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R14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G2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第二产季准备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启动/延期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R15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G3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运输压力试验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通过/优化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R16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G3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包装压力试验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通过/优化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R17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G3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微生物与感官复核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通过/RCA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R18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G3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跨基地统计模型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确证/补批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R19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G3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第三方独立复现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接受/调查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R20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G4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商业冷库运行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转化/整改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R21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G5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经营效果与敏感性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通过/调整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R22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G4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部署SOP验证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批准/修订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R23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G5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全链路审计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提交/退回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6"/>
              </w:rPr>
              <w:t>R24</w:t>
            </w:r>
          </w:p>
        </w:tc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G5</w:t>
            </w:r>
          </w:p>
        </w:tc>
        <w:tc>
          <w:tcPr>
            <w:tcW w:type="dxa" w:w="4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继续/停止决策</w:t>
            </w:r>
          </w:p>
        </w:tc>
        <w:tc>
          <w:tcPr>
            <w:tcW w:type="dxa" w:w="28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6"/>
              </w:rPr>
              <w:t>部署/限定/停止</w:t>
            </w:r>
          </w:p>
        </w:tc>
      </w:tr>
    </w:tbl>
    <w:p>
      <w:pPr>
        <w:spacing w:after="40"/>
      </w:pPr>
    </w:p>
    <w:p>
      <w:pPr>
        <w:pStyle w:val="Heading2"/>
      </w:pPr>
      <w:r>
        <w:t>6.3 根因调查与恢复条件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900"/>
        <w:gridCol w:w="2500"/>
        <w:gridCol w:w="2500"/>
        <w:gridCol w:w="2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触发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即时处置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调查范围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关闭证据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磁场越界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停机并隔离批次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设备、校准、操作、供电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重新测场和质量放行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温度越界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转移样品并保存日志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冷机、门开启、装载、停电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温度恢复和批次有效性评估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样本断链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隔离样本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打印、交接、转运、录入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链路重建或样本排除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检测QC失败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停检并锁定数据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仪器、试剂、方法、人员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校准、复测及全量原始文件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有效率&lt;85%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冻结批次合并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采样、运输、偏差、检测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委员会决定补批或排除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主要终点反转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盲态复核数据和环境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异质性、执行、设备、品种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复测和留一批次分析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第三方不一致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暂停结题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方法、样品、实验室和批次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联合复核报告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经营门槛未达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暂停投资审批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效果、售价、能耗、维修、折旧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参数复核和范围优化</w:t>
            </w:r>
          </w:p>
        </w:tc>
      </w:tr>
    </w:tbl>
    <w:p>
      <w:pPr>
        <w:spacing w:after="40"/>
      </w:pPr>
    </w:p>
    <w:p>
      <w:pPr>
        <w:pStyle w:val="Heading1"/>
      </w:pPr>
      <w:r>
        <w:t>7 经营基线与预算测算</w:t>
      </w:r>
    </w:p>
    <w:p>
      <w:pPr>
        <w:pStyle w:val="Heading2"/>
      </w:pPr>
      <w:r>
        <w:t>7.1 对账结果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100"/>
        <w:gridCol w:w="1800"/>
        <w:gridCol w:w="3300"/>
        <w:gridCol w:w="21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指标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结果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口径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状态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处理批次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6批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批次号去重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可复算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到货量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27,178.0 kg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处理批次到货量合计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可复算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库存报损率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11.94%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报损kg/到货kg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经营基线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库存出库量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23,931.9 kg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库存流水出库合计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可复算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销售净量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23,916.7 kg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含负向记录的净额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用途待确认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出库-销售差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15.2 kg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库存出库-销售净量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G0待关闭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销售净收入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632,115.14元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含负向记录的净额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经营基线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加权售价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26.43元/kg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销售净收入/销售净量</w:t>
            </w:r>
          </w:p>
        </w:tc>
        <w:tc>
          <w:tcPr>
            <w:tcW w:type="dxa" w:w="2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经营基线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库存逐日平衡公式全部通过0.01 kg容差；销售收入按销售kg×单价复算的最大差异为0.01元以内。两条负向销售记录保留原符号，其凭证类型和原单编号在G0由财务核对。</w:t>
      </w:r>
    </w:p>
    <w:p>
      <w:pPr>
        <w:pStyle w:val="Heading2"/>
      </w:pPr>
      <w:r>
        <w:t>7.2 立项预算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800"/>
        <w:gridCol w:w="1900"/>
        <w:gridCol w:w="46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项目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数值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8"/>
              </w:rPr>
              <w:t>公式/属性</w:t>
            </w:r>
          </w:p>
        </w:tc>
      </w:tr>
      <w:tr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处理量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27,178.0 kg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批次到货量合计</w:t>
            </w:r>
          </w:p>
        </w:tc>
      </w:tr>
      <w:tr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技术后库存报损率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11.94%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经营基线汇总</w:t>
            </w:r>
          </w:p>
        </w:tc>
      </w:tr>
      <w:tr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基准模式损耗率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25.00%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立项预算参数；G5同口径确认</w:t>
            </w:r>
          </w:p>
        </w:tc>
      </w:tr>
      <w:tr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单位技术成本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0.35元/kg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处理批次成本口径；供应商报价复核</w:t>
            </w:r>
          </w:p>
        </w:tc>
      </w:tr>
      <w:tr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减损量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3,548.4 kg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处理量×损耗率差</w:t>
            </w:r>
          </w:p>
        </w:tc>
      </w:tr>
      <w:tr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减损挽回收益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93,784元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减损量×加权售价</w:t>
            </w:r>
          </w:p>
        </w:tc>
      </w:tr>
      <w:tr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技术应用成本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9,512元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处理量×单位技术成本</w:t>
            </w:r>
          </w:p>
        </w:tc>
      </w:tr>
      <w:tr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净收益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84,271元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减损收益-技术成本</w:t>
            </w:r>
          </w:p>
        </w:tc>
      </w:tr>
      <w:tr>
        <w:tc>
          <w:tcPr>
            <w:tcW w:type="dxa" w:w="28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收益成本比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9.86</w:t>
            </w:r>
          </w:p>
        </w:tc>
        <w:tc>
          <w:tcPr>
            <w:tcW w:type="dxa" w:w="4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8"/>
              </w:rPr>
              <w:t>减损收益/技术成本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E78"/>
                <w:sz w:val="22"/>
              </w:rPr>
              <w:t>投资口径：</w:t>
            </w:r>
            <w:r>
              <w:rPr>
                <w:rFonts w:ascii="Calibri" w:hAnsi="Calibri" w:eastAsia="Microsoft YaHei"/>
                <w:color w:val="1F2937"/>
                <w:sz w:val="22"/>
              </w:rPr>
              <w:t>G5采用同批次0 mT对照或经批准的历史基线，并纳入供应商报价、试运行能耗、维护工时、校准、五年直线折旧、退货调整和客诉成本。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i w:val="0"/>
          <w:color w:val="1F2937"/>
          <w:sz w:val="22"/>
        </w:rPr>
        <w:t>在基准模式损耗率18%-32%、单位技术成本0.20-0.50元/kg的矩阵中，净收益范围约为29,913-138,630元。G5以报损改善≥5个百分点、收益成本比≥1.50、回收期≤24个月作为投资门槛。</w:t>
      </w:r>
    </w:p>
    <w:p>
      <w:pPr>
        <w:pStyle w:val="Heading1"/>
      </w:pPr>
      <w:r>
        <w:t>8 风险台账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100"/>
        <w:gridCol w:w="2300"/>
        <w:gridCol w:w="2400"/>
        <w:gridCol w:w="2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风险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影响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证据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缓解与触发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小试设计记录不足</w:t>
            </w:r>
          </w:p>
        </w:tc>
        <w:tc>
          <w:tcPr>
            <w:tcW w:type="dxa" w:w="2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小试效应需独立确证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无批次级随机化和盲法记录</w:t>
            </w:r>
          </w:p>
        </w:tc>
        <w:tc>
          <w:tcPr>
            <w:tcW w:type="dxa" w:w="2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G1执行分层区组、三级盲码和唯一样本ID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设备与环境差异</w:t>
            </w:r>
          </w:p>
        </w:tc>
        <w:tc>
          <w:tcPr>
            <w:tcW w:type="dxa" w:w="2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处理效应受场强、温度或运输影响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小试无连续设备环境日志</w:t>
            </w:r>
          </w:p>
        </w:tc>
        <w:tc>
          <w:tcPr>
            <w:tcW w:type="dxa" w:w="2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G2完成108点测场和环境同步采集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ΔE小试复核受限</w:t>
            </w:r>
          </w:p>
        </w:tc>
        <w:tc>
          <w:tcPr>
            <w:tcW w:type="dxa" w:w="2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颜色口径不完整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小试缺b*和基准色</w:t>
            </w:r>
          </w:p>
        </w:tc>
        <w:tc>
          <w:tcPr>
            <w:tcW w:type="dxa" w:w="2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确证阶段保存原始L*a*b*和基准色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新增机制端点方法差</w:t>
            </w:r>
          </w:p>
        </w:tc>
        <w:tc>
          <w:tcPr>
            <w:tcW w:type="dxa" w:w="2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基地间异质性增加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PME、PL和水分状态为确证新增端点</w:t>
            </w:r>
          </w:p>
        </w:tc>
        <w:tc>
          <w:tcPr>
            <w:tcW w:type="dxa" w:w="2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统一方法版本、试剂和跨实验室QC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基准损耗率波动</w:t>
            </w:r>
          </w:p>
        </w:tc>
        <w:tc>
          <w:tcPr>
            <w:tcW w:type="dxa" w:w="2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经济性对基线敏感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25%为立项预算参数</w:t>
            </w:r>
          </w:p>
        </w:tc>
        <w:tc>
          <w:tcPr>
            <w:tcW w:type="dxa" w:w="2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G5采用同批次对照或批准的历史基线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负向销售记录未解释</w:t>
            </w:r>
          </w:p>
        </w:tc>
        <w:tc>
          <w:tcPr>
            <w:tcW w:type="dxa" w:w="2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销量/收入口径不清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2条负向记录</w:t>
            </w:r>
          </w:p>
        </w:tc>
        <w:tc>
          <w:tcPr>
            <w:tcW w:type="dxa" w:w="2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补充凭证类型和原单编号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出库与销售差15.2 kg</w:t>
            </w:r>
          </w:p>
        </w:tc>
        <w:tc>
          <w:tcPr>
            <w:tcW w:type="dxa" w:w="2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经营闭环不完整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库存与销售汇总差</w:t>
            </w:r>
          </w:p>
        </w:tc>
        <w:tc>
          <w:tcPr>
            <w:tcW w:type="dxa" w:w="2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查明样品、在途、漏单或舍入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跨基地效应衰减</w:t>
            </w:r>
          </w:p>
        </w:tc>
        <w:tc>
          <w:tcPr>
            <w:tcW w:type="dxa" w:w="2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部署范围缩小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小试为单一品种和单一环境</w:t>
            </w:r>
          </w:p>
        </w:tc>
        <w:tc>
          <w:tcPr>
            <w:tcW w:type="dxa" w:w="2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执行32批确证并报告预测区间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批次有效率不足</w:t>
            </w:r>
          </w:p>
        </w:tc>
        <w:tc>
          <w:tcPr>
            <w:tcW w:type="dxa" w:w="2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检验效能下降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样品损耗或关键偏差</w:t>
            </w:r>
          </w:p>
        </w:tc>
        <w:tc>
          <w:tcPr>
            <w:tcW w:type="dxa" w:w="2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15%批次冗余、每单元2枚预留，低于85%触发RCA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多终点多时点</w:t>
            </w:r>
          </w:p>
        </w:tc>
        <w:tc>
          <w:tcPr>
            <w:tcW w:type="dxa" w:w="2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假阳性增加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主要和支持性端点并行</w:t>
            </w:r>
          </w:p>
        </w:tc>
        <w:tc>
          <w:tcPr>
            <w:tcW w:type="dxa" w:w="2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主要终点优先、Holm校正和95%CI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运输压力</w:t>
            </w:r>
          </w:p>
        </w:tc>
        <w:tc>
          <w:tcPr>
            <w:tcW w:type="dxa" w:w="2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腐烂和硬度结果波动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四条运输路线</w:t>
            </w:r>
          </w:p>
        </w:tc>
        <w:tc>
          <w:tcPr>
            <w:tcW w:type="dxa" w:w="2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同步记录温度与振动并纳入协变量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设备全成本</w:t>
            </w:r>
          </w:p>
        </w:tc>
        <w:tc>
          <w:tcPr>
            <w:tcW w:type="dxa" w:w="2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收益成本比和回收期波动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能耗、维修、校准和折旧</w:t>
            </w:r>
          </w:p>
        </w:tc>
        <w:tc>
          <w:tcPr>
            <w:tcW w:type="dxa" w:w="2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按批归集并在G5完成敏感性复核</w:t>
            </w:r>
          </w:p>
        </w:tc>
      </w:tr>
    </w:tbl>
    <w:p>
      <w:pPr>
        <w:spacing w:after="40"/>
      </w:pPr>
    </w:p>
    <w:p>
      <w:pPr>
        <w:pStyle w:val="Heading1"/>
      </w:pPr>
      <w:r>
        <w:t>9 分阶段验证门槛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200"/>
        <w:gridCol w:w="1600"/>
        <w:gridCol w:w="3560"/>
        <w:gridCol w:w="30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阶段门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当前状态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继续条件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停止/暂停条件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G0 立项与数据核对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有条件通过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责任签署；小试证据可定位；关闭负向记录和15.2 kg差额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核心证据缺失或经营对账无法关闭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G1 设计冻结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待审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预注册、样本量、32批覆盖、随机化盲法和SAP冻结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主要终点、批次独立性或随机化不可执行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G2 设备与方法放行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待执行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四基地设备、108点测场、环境采集、检测QC和培训全部放行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任一关键设备或方法未放行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G3 确证与独立复核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待执行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主要终点达门槛，异质性可解释，第三方结果一致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主要终点反转、连续关键批次失败或异质性不可解释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G4 商业冷库转化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待执行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货架期延长≥2 d；放行合格率≥90%；运行参数受控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商业冷库或运输压力下效应明显衰减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G5 经营与投资决策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待执行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报损改善≥5个百分点；BCR≥1.50；回收期≤24月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完整成本口径持续未达门槛</w:t>
            </w:r>
          </w:p>
        </w:tc>
      </w:tr>
    </w:tbl>
    <w:p>
      <w:pPr>
        <w:spacing w:after="40"/>
      </w:pPr>
    </w:p>
    <w:p>
      <w:pPr>
        <w:pStyle w:val="Heading1"/>
      </w:pPr>
      <w:r>
        <w:t>10 部署SOP与决策建议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900"/>
        <w:gridCol w:w="1900"/>
        <w:gridCol w:w="4200"/>
        <w:gridCol w:w="23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步骤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环节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操作与记录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异常控制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到货验收</w:t>
            </w:r>
          </w:p>
        </w:tc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核对基地、品种、采收时间、温度和批次；形成收货单</w:t>
            </w:r>
          </w:p>
        </w:tc>
        <w:tc>
          <w:tcPr>
            <w:tcW w:type="dxa" w:w="2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不符合项隔离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分层</w:t>
            </w:r>
          </w:p>
        </w:tc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按成熟度、果径和初始质量分层；形成分层清单</w:t>
            </w:r>
          </w:p>
        </w:tc>
        <w:tc>
          <w:tcPr>
            <w:tcW w:type="dxa" w:w="2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超差样本隔离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编码与随机</w:t>
            </w:r>
          </w:p>
        </w:tc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生成样本码、检测码和库位随机表</w:t>
            </w:r>
          </w:p>
        </w:tc>
        <w:tc>
          <w:tcPr>
            <w:tcW w:type="dxa" w:w="2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版本锁定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4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设备确认</w:t>
            </w:r>
          </w:p>
        </w:tc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核对型号版本、校准、测场、EMC和温升</w:t>
            </w:r>
          </w:p>
        </w:tc>
        <w:tc>
          <w:tcPr>
            <w:tcW w:type="dxa" w:w="2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未放行设备停用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装载与处理</w:t>
            </w:r>
          </w:p>
        </w:tc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按随机库位装载40%-80%；记录0/5 mT处理起止</w:t>
            </w:r>
          </w:p>
        </w:tc>
        <w:tc>
          <w:tcPr>
            <w:tcW w:type="dxa" w:w="2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越界暂停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6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冷藏监测</w:t>
            </w:r>
          </w:p>
        </w:tc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连续记录温湿度、门开启、装载、能耗和故障</w:t>
            </w:r>
          </w:p>
        </w:tc>
        <w:tc>
          <w:tcPr>
            <w:tcW w:type="dxa" w:w="2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报警进入偏差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7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运输</w:t>
            </w:r>
          </w:p>
        </w:tc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记录封签、温度、振动和交接</w:t>
            </w:r>
          </w:p>
        </w:tc>
        <w:tc>
          <w:tcPr>
            <w:tcW w:type="dxa" w:w="2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封签破损隔离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8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取样检测</w:t>
            </w:r>
          </w:p>
        </w:tc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按时间点盲态取样并完成仪器QC</w:t>
            </w:r>
          </w:p>
        </w:tc>
        <w:tc>
          <w:tcPr>
            <w:tcW w:type="dxa" w:w="2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QC失败复测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9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数据锁库</w:t>
            </w:r>
          </w:p>
        </w:tc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关闭查询、冻结排除清单和SAP版本</w:t>
            </w:r>
          </w:p>
        </w:tc>
        <w:tc>
          <w:tcPr>
            <w:tcW w:type="dxa" w:w="2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锁库前保持盲态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10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批次放行</w:t>
            </w:r>
          </w:p>
        </w:tc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按硬度、腐烂、感官和微生物门槛判定</w:t>
            </w:r>
          </w:p>
        </w:tc>
        <w:tc>
          <w:tcPr>
            <w:tcW w:type="dxa" w:w="2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失败进入RCA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11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经营复盘</w:t>
            </w:r>
          </w:p>
        </w:tc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对账报损、售价、能耗、维修、折旧和客诉</w:t>
            </w:r>
          </w:p>
        </w:tc>
        <w:tc>
          <w:tcPr>
            <w:tcW w:type="dxa" w:w="2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参数变更留痕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12</w:t>
            </w:r>
          </w:p>
        </w:tc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投资决策</w:t>
            </w:r>
          </w:p>
        </w:tc>
        <w:tc>
          <w:tcPr>
            <w:tcW w:type="dxa" w:w="4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提交G5综合证据包和部署范围</w:t>
            </w:r>
          </w:p>
        </w:tc>
        <w:tc>
          <w:tcPr>
            <w:tcW w:type="dxa" w:w="2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部署/限定/停止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E78"/>
                <w:sz w:val="22"/>
              </w:rPr>
              <w:t>决策建议：</w:t>
            </w:r>
            <w:r>
              <w:rPr>
                <w:rFonts w:ascii="Calibri" w:hAnsi="Calibri" w:eastAsia="Microsoft YaHei"/>
                <w:color w:val="1F2937"/>
                <w:sz w:val="22"/>
              </w:rPr>
              <w:t>批准进入多基地确证验证准备期。G1与G2关闭后启动首批；G3依据主要终点、异质性和第三方复核决定确证范围；G4和G5依据商业冷库表现及完整经营口径决定部署、限定或停止。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附录A 公式与证据定位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900"/>
        <w:gridCol w:w="2500"/>
        <w:gridCol w:w="3300"/>
        <w:gridCol w:w="2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编号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指标/公式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证据位置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E78"/>
                <w:sz w:val="17"/>
              </w:rPr>
              <w:t>复核规则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A01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硬度均值/SD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硬度 (Hardness, N).xlsx / A1:G8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同时间、同处理3个重复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A02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失重率均值/SD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失重率 (Weight loss, %).xlsx / A1:G8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同时间、同处理3个重复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A03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WSP与PG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两份指标表 / A1:G8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小试机制基线；确证阶段联合新增端点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A04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颜色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L*、a*、ΔE三份指标表 / A1:G8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ΔE不由L*、a*单独复算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A05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样本量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输入工作簿 / 样本量规划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调整后最低22批；计划32批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A06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设备与环境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输入工作簿 / 设备主数据、三维测场、环境采集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四台设备、108点测场和统一触发阈值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A07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统计模型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输入工作簿 / 统计分析计划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混合效应、GLMM、生存、95%CI和Holm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A08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库存平衡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输入工作簿 / 库存流水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期初+入库-出库-报损-期末，容差0.01 kg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A09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销售收入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输入工作簿 / 销售流水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销售kg×单价-收入，容差0.01元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A10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净收益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分析底稿 / 经营测算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减损量×售价-处理量×单位成本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A11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评审与RCA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输入工作簿 / 阶段评审、RCA台账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24轮评审和关键批次关闭证据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F2937"/>
                <w:sz w:val="17"/>
              </w:rPr>
              <w:t>A12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跨产物一致性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分析底稿 / 跨产物核对、项目总览</w:t>
            </w:r>
          </w:p>
        </w:tc>
        <w:tc>
          <w:tcPr>
            <w:tcW w:type="dxa" w:w="26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1F2937"/>
                <w:sz w:val="17"/>
              </w:rPr>
              <w:t>关键数字、门槛和状态同口径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F6B7A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B7A"/>
        <w:sz w:val="18"/>
      </w:rPr>
      <w:t>草莓静磁场多基地确证验证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草莓静磁场冷藏试验评估与转化验证报告</dc:title>
  <dc:subject>草莓静磁场多基地确证、商业冷库转化与阶段决策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