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微软雅黑" w:hAnsi="微软雅黑" w:eastAsia="微软雅黑"/>
          <w:b/>
          <w:color w:val="0B5A8C"/>
          <w:sz w:val="60"/>
        </w:rPr>
        <w:t>英伟达 CPO 产业深度研究报告</w:t>
      </w:r>
    </w:p>
    <w:p>
      <w:pPr>
        <w:spacing w:before="120"/>
        <w:jc w:val="center"/>
      </w:pPr>
      <w:r>
        <w:rPr>
          <w:rFonts w:ascii="微软雅黑" w:hAnsi="微软雅黑" w:eastAsia="微软雅黑"/>
          <w:color w:val="555555"/>
          <w:sz w:val="28"/>
        </w:rPr>
        <w:t>—— 40亿美元重注光互连，AI算力“铜墙”何以破局</w:t>
      </w:r>
    </w:p>
    <w:p>
      <w:pPr>
        <w:spacing w:before="360"/>
        <w:jc w:val="center"/>
      </w:pPr>
      <w:r>
        <w:rPr>
          <w:color w:val="76B900"/>
          <w:sz w:val="24"/>
        </w:rPr>
        <w:t>━━━━━━━━━━━━━━━━━━━━━━━━━━━━━━</w:t>
      </w:r>
    </w:p>
    <w:p/>
    <w:p/>
    <w:p>
      <w:pPr>
        <w:jc w:val="center"/>
      </w:pPr>
      <w:r>
        <w:rPr>
          <w:rFonts w:ascii="微软雅黑" w:hAnsi="微软雅黑" w:eastAsia="微软雅黑"/>
          <w:b/>
          <w:color w:val="76B900"/>
          <w:sz w:val="26"/>
        </w:rPr>
        <w:t>战略咨询 · 产业研究</w:t>
      </w:r>
    </w:p>
    <w:p/>
    <w:p/>
    <w:p/>
    <w:p/>
    <w:p/>
    <w:p/>
    <w:tbl>
      <w:tblPr>
        <w:tblW w:type="auto" w:w="0"/>
        <w:jc w:val="center"/>
        <w:tblLook w:firstColumn="1" w:firstRow="1" w:lastColumn="0" w:lastRow="0" w:noHBand="0" w:noVBand="1" w:val="04A0"/>
      </w:tblPr>
      <w:tblGrid>
        <w:gridCol w:w="4703"/>
        <w:gridCol w:w="4703"/>
      </w:tblGrid>
      <w:tr>
        <w:tc>
          <w:tcPr>
            <w:tcW w:type="dxa" w:w="2268"/>
            <w:shd w:val="clear" w:color="auto" w:fill="0B5A8C"/>
            <w:tcBorders>
              <w:top w:val="single" w:sz="6" w:color="BFBFBF"/>
              <w:left w:val="single" w:sz="6" w:color="BFBFBF"/>
              <w:bottom w:val="single" w:sz="6" w:color="BFBFBF"/>
              <w:right w:val="single" w:sz="6" w:color="BFBFBF"/>
            </w:tcBorders>
          </w:tcPr>
          <w:p>
            <w:pPr>
              <w:spacing w:before="40" w:after="40"/>
              <w:jc w:val="center"/>
            </w:pPr>
            <w:r>
              <w:rPr>
                <w:rFonts w:ascii="微软雅黑" w:hAnsi="微软雅黑" w:eastAsia="微软雅黑"/>
                <w:b/>
                <w:color w:val="FFFFFF"/>
                <w:sz w:val="21"/>
              </w:rPr>
              <w:t>报告主题</w:t>
            </w:r>
          </w:p>
        </w:tc>
        <w:tc>
          <w:tcPr>
            <w:tcW w:type="dxa" w:w="6236"/>
            <w:shd w:val="clear" w:color="auto" w:fill="FFFFFF"/>
            <w:tcBorders>
              <w:top w:val="single" w:sz="6" w:color="BFBFBF"/>
              <w:left w:val="single" w:sz="6" w:color="BFBFBF"/>
              <w:bottom w:val="single" w:sz="6" w:color="BFBFBF"/>
              <w:right w:val="single" w:sz="6" w:color="BFBFBF"/>
            </w:tcBorders>
          </w:tcPr>
          <w:p>
            <w:pPr>
              <w:spacing w:before="40" w:after="40"/>
            </w:pPr>
            <w:r>
              <w:rPr>
                <w:rFonts w:ascii="微软雅黑" w:hAnsi="微软雅黑" w:eastAsia="微软雅黑"/>
                <w:color w:val="1A1A1A"/>
                <w:sz w:val="21"/>
              </w:rPr>
              <w:t>英伟达投资 Lumentum 与 Coherent 事件及 CPO 产业分析</w:t>
            </w:r>
          </w:p>
        </w:tc>
      </w:tr>
      <w:tr>
        <w:tc>
          <w:tcPr>
            <w:tcW w:type="dxa" w:w="2268"/>
            <w:shd w:val="clear" w:color="auto" w:fill="0B5A8C"/>
            <w:tcBorders>
              <w:top w:val="single" w:sz="6" w:color="BFBFBF"/>
              <w:left w:val="single" w:sz="6" w:color="BFBFBF"/>
              <w:bottom w:val="single" w:sz="6" w:color="BFBFBF"/>
              <w:right w:val="single" w:sz="6" w:color="BFBFBF"/>
            </w:tcBorders>
          </w:tcPr>
          <w:p>
            <w:pPr>
              <w:spacing w:before="40" w:after="40"/>
              <w:jc w:val="center"/>
            </w:pPr>
            <w:r>
              <w:rPr>
                <w:rFonts w:ascii="微软雅黑" w:hAnsi="微软雅黑" w:eastAsia="微软雅黑"/>
                <w:b/>
                <w:color w:val="FFFFFF"/>
                <w:sz w:val="21"/>
              </w:rPr>
              <w:t>事件日期</w:t>
            </w:r>
          </w:p>
        </w:tc>
        <w:tc>
          <w:tcPr>
            <w:tcW w:type="dxa" w:w="6236"/>
            <w:shd w:val="clear" w:color="auto" w:fill="FFFFFF"/>
            <w:tcBorders>
              <w:top w:val="single" w:sz="6" w:color="BFBFBF"/>
              <w:left w:val="single" w:sz="6" w:color="BFBFBF"/>
              <w:bottom w:val="single" w:sz="6" w:color="BFBFBF"/>
              <w:right w:val="single" w:sz="6" w:color="BFBFBF"/>
            </w:tcBorders>
          </w:tcPr>
          <w:p>
            <w:pPr>
              <w:spacing w:before="40" w:after="40"/>
            </w:pPr>
            <w:r>
              <w:rPr>
                <w:rFonts w:ascii="微软雅黑" w:hAnsi="微软雅黑" w:eastAsia="微软雅黑"/>
                <w:color w:val="1A1A1A"/>
                <w:sz w:val="21"/>
              </w:rPr>
              <w:t>2026年3月2日（美东时间，周一）</w:t>
            </w:r>
          </w:p>
        </w:tc>
      </w:tr>
      <w:tr>
        <w:tc>
          <w:tcPr>
            <w:tcW w:type="dxa" w:w="2268"/>
            <w:shd w:val="clear" w:color="auto" w:fill="0B5A8C"/>
            <w:tcBorders>
              <w:top w:val="single" w:sz="6" w:color="BFBFBF"/>
              <w:left w:val="single" w:sz="6" w:color="BFBFBF"/>
              <w:bottom w:val="single" w:sz="6" w:color="BFBFBF"/>
              <w:right w:val="single" w:sz="6" w:color="BFBFBF"/>
            </w:tcBorders>
          </w:tcPr>
          <w:p>
            <w:pPr>
              <w:spacing w:before="40" w:after="40"/>
              <w:jc w:val="center"/>
            </w:pPr>
            <w:r>
              <w:rPr>
                <w:rFonts w:ascii="微软雅黑" w:hAnsi="微软雅黑" w:eastAsia="微软雅黑"/>
                <w:b/>
                <w:color w:val="FFFFFF"/>
                <w:sz w:val="21"/>
              </w:rPr>
              <w:t>报告日期</w:t>
            </w:r>
          </w:p>
        </w:tc>
        <w:tc>
          <w:tcPr>
            <w:tcW w:type="dxa" w:w="6236"/>
            <w:shd w:val="clear" w:color="auto" w:fill="FFFFFF"/>
            <w:tcBorders>
              <w:top w:val="single" w:sz="6" w:color="BFBFBF"/>
              <w:left w:val="single" w:sz="6" w:color="BFBFBF"/>
              <w:bottom w:val="single" w:sz="6" w:color="BFBFBF"/>
              <w:right w:val="single" w:sz="6" w:color="BFBFBF"/>
            </w:tcBorders>
          </w:tcPr>
          <w:p>
            <w:pPr>
              <w:spacing w:before="40" w:after="40"/>
            </w:pPr>
            <w:r>
              <w:rPr>
                <w:rFonts w:ascii="微软雅黑" w:hAnsi="微软雅黑" w:eastAsia="微软雅黑"/>
                <w:color w:val="1A1A1A"/>
                <w:sz w:val="21"/>
              </w:rPr>
              <w:t>2026年3月</w:t>
            </w:r>
          </w:p>
        </w:tc>
      </w:tr>
      <w:tr>
        <w:tc>
          <w:tcPr>
            <w:tcW w:type="dxa" w:w="2268"/>
            <w:shd w:val="clear" w:color="auto" w:fill="0B5A8C"/>
            <w:tcBorders>
              <w:top w:val="single" w:sz="6" w:color="BFBFBF"/>
              <w:left w:val="single" w:sz="6" w:color="BFBFBF"/>
              <w:bottom w:val="single" w:sz="6" w:color="BFBFBF"/>
              <w:right w:val="single" w:sz="6" w:color="BFBFBF"/>
            </w:tcBorders>
          </w:tcPr>
          <w:p>
            <w:pPr>
              <w:spacing w:before="40" w:after="40"/>
              <w:jc w:val="center"/>
            </w:pPr>
            <w:r>
              <w:rPr>
                <w:rFonts w:ascii="微软雅黑" w:hAnsi="微软雅黑" w:eastAsia="微软雅黑"/>
                <w:b/>
                <w:color w:val="FFFFFF"/>
                <w:sz w:val="21"/>
              </w:rPr>
              <w:t>报告类型</w:t>
            </w:r>
          </w:p>
        </w:tc>
        <w:tc>
          <w:tcPr>
            <w:tcW w:type="dxa" w:w="6236"/>
            <w:shd w:val="clear" w:color="auto" w:fill="FFFFFF"/>
            <w:tcBorders>
              <w:top w:val="single" w:sz="6" w:color="BFBFBF"/>
              <w:left w:val="single" w:sz="6" w:color="BFBFBF"/>
              <w:bottom w:val="single" w:sz="6" w:color="BFBFBF"/>
              <w:right w:val="single" w:sz="6" w:color="BFBFBF"/>
            </w:tcBorders>
          </w:tcPr>
          <w:p>
            <w:pPr>
              <w:spacing w:before="40" w:after="40"/>
            </w:pPr>
            <w:r>
              <w:rPr>
                <w:rFonts w:ascii="微软雅黑" w:hAnsi="微软雅黑" w:eastAsia="微软雅黑"/>
                <w:color w:val="1A1A1A"/>
                <w:sz w:val="21"/>
              </w:rPr>
              <w:t>战略咨询 / 产业深度研究</w:t>
            </w:r>
          </w:p>
        </w:tc>
      </w:tr>
      <w:tr>
        <w:tc>
          <w:tcPr>
            <w:tcW w:type="dxa" w:w="2268"/>
            <w:shd w:val="clear" w:color="auto" w:fill="0B5A8C"/>
            <w:tcBorders>
              <w:top w:val="single" w:sz="6" w:color="BFBFBF"/>
              <w:left w:val="single" w:sz="6" w:color="BFBFBF"/>
              <w:bottom w:val="single" w:sz="6" w:color="BFBFBF"/>
              <w:right w:val="single" w:sz="6" w:color="BFBFBF"/>
            </w:tcBorders>
          </w:tcPr>
          <w:p>
            <w:pPr>
              <w:spacing w:before="40" w:after="40"/>
              <w:jc w:val="center"/>
            </w:pPr>
            <w:r>
              <w:rPr>
                <w:rFonts w:ascii="微软雅黑" w:hAnsi="微软雅黑" w:eastAsia="微软雅黑"/>
                <w:b/>
                <w:color w:val="FFFFFF"/>
                <w:sz w:val="21"/>
              </w:rPr>
              <w:t>文件编号</w:t>
            </w:r>
          </w:p>
        </w:tc>
        <w:tc>
          <w:tcPr>
            <w:tcW w:type="dxa" w:w="6236"/>
            <w:shd w:val="clear" w:color="auto" w:fill="FFFFFF"/>
            <w:tcBorders>
              <w:top w:val="single" w:sz="6" w:color="BFBFBF"/>
              <w:left w:val="single" w:sz="6" w:color="BFBFBF"/>
              <w:bottom w:val="single" w:sz="6" w:color="BFBFBF"/>
              <w:right w:val="single" w:sz="6" w:color="BFBFBF"/>
            </w:tcBorders>
          </w:tcPr>
          <w:p>
            <w:pPr>
              <w:spacing w:before="40" w:after="40"/>
            </w:pPr>
            <w:r>
              <w:rPr>
                <w:rFonts w:ascii="微软雅黑" w:hAnsi="微软雅黑" w:eastAsia="微软雅黑"/>
                <w:color w:val="1A1A1A"/>
                <w:sz w:val="21"/>
              </w:rPr>
              <w:t>26.3.4</w:t>
            </w:r>
          </w:p>
        </w:tc>
      </w:tr>
    </w:tbl>
    <w:p>
      <w:r>
        <w:br w:type="page"/>
      </w:r>
    </w:p>
    <w:p>
      <w:pPr>
        <w:keepNext/>
        <w:spacing w:before="320" w:after="160"/>
        <w:pBdr>
          <w:bottom w:val="single" w:sz="8" w:space="4" w:color="76B900"/>
        </w:pBdr>
      </w:pPr>
      <w:r>
        <w:rPr>
          <w:rFonts w:ascii="微软雅黑" w:hAnsi="微软雅黑" w:eastAsia="微软雅黑"/>
          <w:b/>
          <w:color w:val="76B900"/>
          <w:sz w:val="30"/>
        </w:rPr>
        <w:t xml:space="preserve">■ </w:t>
      </w:r>
      <w:r>
        <w:rPr>
          <w:rFonts w:ascii="微软雅黑" w:hAnsi="微软雅黑" w:eastAsia="微软雅黑"/>
          <w:b/>
          <w:color w:val="0B5A8C"/>
          <w:sz w:val="30"/>
        </w:rPr>
        <w:t xml:space="preserve">  </w:t>
      </w:r>
      <w:r>
        <w:rPr>
          <w:rFonts w:ascii="微软雅黑" w:hAnsi="微软雅黑" w:eastAsia="微软雅黑"/>
          <w:b/>
          <w:color w:val="1A1A1A"/>
          <w:sz w:val="30"/>
        </w:rPr>
        <w:t>执行摘要</w:t>
      </w:r>
    </w:p>
    <w:p>
      <w:pPr>
        <w:spacing w:after="160" w:before="0" w:line="312" w:lineRule="auto"/>
        <w:ind w:firstLine="420"/>
      </w:pPr>
      <w:r>
        <w:rPr>
          <w:rFonts w:ascii="微软雅黑" w:hAnsi="微软雅黑" w:eastAsia="微软雅黑"/>
          <w:b w:val="0"/>
          <w:i w:val="0"/>
          <w:color w:val="1A1A1A"/>
          <w:sz w:val="21"/>
        </w:rPr>
        <w:t>2026年3月2日，英伟达（NVIDIA，NVDA）宣布与光通信龙头企业 Lumentum（LITE）和 Coherent（COHR）分别签署多年战略合作协议，向两家公司各投资20亿美元、合计40亿美元，并配套数十亿美元级长期采购承诺与先进激光组件未来产能优先获取权。这一动作是英伟达继2025年3月GTC发布 Quantum-X Photonics 与 Spectrum-X Photonics 两款共封装光学（CPO）交换机之后，在光互连领域最具决定性的一次供应链垂直锁定，被巴克莱直指为针对 CPO 的“供应保护”。</w:t>
      </w:r>
    </w:p>
    <w:p>
      <w:pPr>
        <w:spacing w:after="120" w:before="0" w:line="312" w:lineRule="auto"/>
        <w:ind w:firstLine="420"/>
      </w:pPr>
      <w:r>
        <w:rPr>
          <w:rFonts w:ascii="微软雅黑" w:hAnsi="微软雅黑" w:eastAsia="微软雅黑"/>
          <w:b w:val="0"/>
          <w:i w:val="0"/>
          <w:color w:val="1A1A1A"/>
          <w:sz w:val="21"/>
        </w:rPr>
        <w:t>本报告围绕该投资事件，从“事件还原—技术演进逻辑—英伟达战略与产品矩阵—头部玩家路线对比—产业链与竞争格局—市场规模与关键数据—投资逻辑与风险”七个维度展开，核心结论如下：</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技术必然性：</w:t>
      </w:r>
      <w:r>
        <w:rPr>
          <w:rFonts w:ascii="微软雅黑" w:hAnsi="微软雅黑" w:eastAsia="微软雅黑"/>
          <w:color w:val="1A1A1A"/>
          <w:sz w:val="21"/>
        </w:rPr>
        <w:t>CPO 是 AI 算力从“算力瓶颈”转向“互连带宽瓶颈”后的必然解。当 SerDes 速率升至 400G/lane、铜缆 reach 不足2米，可插拔光模块又面临功耗（1.6T 单端口约30W）、密度与信号完整性三重墙，CPO 通过将光引擎与交换 ASIC 共封装，将电互连距离从厘米级压缩至毫米级，功耗最高可降70%、时延与可靠性显著改善。</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路线分野：</w:t>
      </w:r>
      <w:r>
        <w:rPr>
          <w:rFonts w:ascii="微软雅黑" w:hAnsi="微软雅黑" w:eastAsia="微软雅黑"/>
          <w:color w:val="1A1A1A"/>
          <w:sz w:val="21"/>
        </w:rPr>
        <w:t>英伟达以“系统级垂直整合”姿态入局，与博通“模块化方案供应”形成路线分野。英伟达采用 MRM（微环调制器）+ 单波长 + TSMC COUPE 3D堆叠 + 可拆卸 OSA 的差异化技术组合，宣称3.5×能效与10×可靠性；博通则以 MZM+多波长+FOWLP/COUPE 路线最早实现商用，并向超大规模客户提供完整模块平台。</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供应链卡位：</w:t>
      </w:r>
      <w:r>
        <w:rPr>
          <w:rFonts w:ascii="微软雅黑" w:hAnsi="微软雅黑" w:eastAsia="微软雅黑"/>
          <w:color w:val="1A1A1A"/>
          <w:sz w:val="21"/>
        </w:rPr>
        <w:t>Lumentum 与 Coherent 是全球少数掌握 InP 激光器产能的核心供应商，而 InP 产能短缺预计持续至2027年。英伟达通过“投资换股权+长单锁产能”提前锁定柜外（Scale-out）与柜内（Scale-up）两类 CPO 所需的400mW级 CW 激光器，本质是在为2027年起的 CPO 规模部署“提前备料”。</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市场与产业链：</w:t>
      </w:r>
      <w:r>
        <w:rPr>
          <w:rFonts w:ascii="微软雅黑" w:hAnsi="微软雅黑" w:eastAsia="微软雅黑"/>
          <w:color w:val="1A1A1A"/>
          <w:sz w:val="21"/>
        </w:rPr>
        <w:t>LightCounting 预测2026年以太网光模块市场达260亿美元（同比+60%），2031年达800亿美元；CPO 市场2027年规模约54亿美元。中国厂商在中游光模块环节占据全球前十中七席、CR3超55%，但上游 InP 衬底国产化率不足15%、高端 EML 不足25%，是产业链最深的短板与下一场国产替代战役的焦点。</w:t>
      </w:r>
    </w:p>
    <w:tbl>
      <w:tblPr>
        <w:tblW w:type="auto" w:w="0"/>
        <w:jc w:val="center"/>
        <w:tblLook w:firstColumn="1" w:firstRow="1" w:lastColumn="0" w:lastRow="0" w:noHBand="0" w:noVBand="1" w:val="04A0"/>
      </w:tblPr>
      <w:tblGrid>
        <w:gridCol w:w="9406"/>
      </w:tblGrid>
      <w:tr>
        <w:tc>
          <w:tcPr>
            <w:tcW w:type="dxa" w:w="9071"/>
            <w:shd w:val="clear" w:color="auto" w:fill="EEF3F8"/>
            <w:tcBorders>
              <w:left w:val="single" w:sz="24" w:color="0B5A8C"/>
              <w:top w:val="nil"/>
              <w:bottom w:val="nil"/>
              <w:right w:val="nil"/>
            </w:tcBorders>
          </w:tcPr>
          <w:p>
            <w:pPr>
              <w:spacing w:before="80" w:after="80" w:line="300" w:lineRule="auto"/>
            </w:pPr>
            <w:r>
              <w:rPr>
                <w:rFonts w:ascii="微软雅黑" w:hAnsi="微软雅黑" w:eastAsia="微软雅黑"/>
                <w:i/>
                <w:color w:val="333333"/>
                <w:sz w:val="21"/>
              </w:rPr>
              <w:t>促成交易的首要原因，是为英伟达在柜外互联（Scale-out）和柜内互联（Scale-up）两类 CPO 上保护供应……这更像是在为更大规模的“光互联”时代推进“提前备料”，而不是一次短期的供需扰动。</w:t>
            </w:r>
          </w:p>
          <w:p>
            <w:pPr>
              <w:spacing w:after="40"/>
              <w:jc w:val="right"/>
            </w:pPr>
            <w:r>
              <w:rPr>
                <w:rFonts w:ascii="微软雅黑" w:hAnsi="微软雅黑" w:eastAsia="微软雅黑"/>
                <w:color w:val="555555"/>
                <w:sz w:val="18"/>
              </w:rPr>
              <w:t>— 巴克莱（Barclays）研报</w:t>
            </w:r>
          </w:p>
        </w:tc>
      </w:tr>
    </w:tbl>
    <w:p>
      <w:pPr>
        <w:spacing w:after="40"/>
      </w:pPr>
    </w:p>
    <w:p>
      <w:pPr>
        <w:spacing w:after="80" w:before="0" w:line="312" w:lineRule="auto"/>
        <w:ind w:firstLine="420"/>
      </w:pPr>
      <w:r>
        <w:rPr>
          <w:rFonts w:ascii="微软雅黑" w:hAnsi="微软雅黑" w:eastAsia="微软雅黑"/>
          <w:b w:val="0"/>
          <w:i w:val="0"/>
          <w:color w:val="1A1A1A"/>
          <w:sz w:val="21"/>
        </w:rPr>
        <w:t>综上，英伟达40亿美元投资并非孤立的财务行为，而是其在 GPU/CUDA/InfiniBand/NVLink 软硬件生态之外，对“光”这一下一代互连介质进行的系统性供应链与标准话语权锁定，意在将 CPO 的商用拐点提前至2026—2027年，并为2028年前后 NVLink 光互连（Scale-up CPO）奠定基础。</w:t>
      </w:r>
    </w:p>
    <w:p>
      <w:r>
        <w:br w:type="page"/>
      </w:r>
    </w:p>
    <w:p>
      <w:pPr>
        <w:keepNext/>
        <w:spacing w:before="320" w:after="160"/>
        <w:pBdr>
          <w:bottom w:val="single" w:sz="8" w:space="4" w:color="76B900"/>
        </w:pBdr>
      </w:pPr>
      <w:r>
        <w:rPr>
          <w:rFonts w:ascii="微软雅黑" w:hAnsi="微软雅黑" w:eastAsia="微软雅黑"/>
          <w:b/>
          <w:color w:val="76B900"/>
          <w:sz w:val="30"/>
        </w:rPr>
        <w:t xml:space="preserve">■ </w:t>
      </w:r>
      <w:r>
        <w:rPr>
          <w:rFonts w:ascii="微软雅黑" w:hAnsi="微软雅黑" w:eastAsia="微软雅黑"/>
          <w:b/>
          <w:color w:val="0B5A8C"/>
          <w:sz w:val="30"/>
        </w:rPr>
        <w:t xml:space="preserve">第一章  </w:t>
      </w:r>
      <w:r>
        <w:rPr>
          <w:rFonts w:ascii="微软雅黑" w:hAnsi="微软雅黑" w:eastAsia="微软雅黑"/>
          <w:b/>
          <w:color w:val="1A1A1A"/>
          <w:sz w:val="30"/>
        </w:rPr>
        <w:t>投资事件全景</w:t>
      </w:r>
    </w:p>
    <w:p>
      <w:pPr>
        <w:keepNext/>
        <w:spacing w:before="200" w:after="80"/>
      </w:pPr>
      <w:r>
        <w:rPr>
          <w:rFonts w:ascii="微软雅黑" w:hAnsi="微软雅黑" w:eastAsia="微软雅黑"/>
          <w:b/>
          <w:color w:val="76B900"/>
          <w:sz w:val="25"/>
        </w:rPr>
        <w:t xml:space="preserve">1.1  </w:t>
      </w:r>
      <w:r>
        <w:rPr>
          <w:rFonts w:ascii="微软雅黑" w:hAnsi="微软雅黑" w:eastAsia="微软雅黑"/>
          <w:b/>
          <w:color w:val="1A1A1A"/>
          <w:sz w:val="25"/>
        </w:rPr>
        <w:t>交易要素：40亿美元股权投资 + 多年采购承诺</w:t>
      </w:r>
    </w:p>
    <w:p>
      <w:pPr>
        <w:spacing w:after="120" w:before="0" w:line="312" w:lineRule="auto"/>
        <w:ind w:firstLine="420"/>
      </w:pPr>
      <w:r>
        <w:rPr>
          <w:rFonts w:ascii="微软雅黑" w:hAnsi="微软雅黑" w:eastAsia="微软雅黑"/>
          <w:b w:val="0"/>
          <w:i w:val="0"/>
          <w:color w:val="1A1A1A"/>
          <w:sz w:val="21"/>
        </w:rPr>
        <w:t>2026年3月2日（美东时间周一），英伟达通过其投资者关系页面与新闻室同步发布两份公告，宣布分别与 Lumentum Holdings（NASDAQ: LITE）和 Coherent Corp.（NYSE: COHR）达成多年战略合作协议。两份协议结构高度对称，均包含三大要素：股权投资、采购承诺、产能优先获取权。</w:t>
      </w:r>
    </w:p>
    <w:tbl>
      <w:tblPr>
        <w:tblW w:type="auto" w:w="0"/>
        <w:jc w:val="center"/>
        <w:tblLayout w:type="fixed"/>
        <w:tblLook w:firstColumn="1" w:firstRow="1" w:lastColumn="0" w:lastRow="0" w:noHBand="0" w:noVBand="1" w:val="04A0"/>
      </w:tblPr>
      <w:tblGrid>
        <w:gridCol w:w="3135"/>
        <w:gridCol w:w="3135"/>
        <w:gridCol w:w="3135"/>
      </w:tblGrid>
      <w:tr>
        <w:tc>
          <w:tcPr>
            <w:tcW w:type="dxa" w:w="1814"/>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要素</w:t>
            </w:r>
          </w:p>
        </w:tc>
        <w:tc>
          <w:tcPr>
            <w:tcW w:type="dxa" w:w="3628"/>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Lumentum（LITE）</w:t>
            </w:r>
          </w:p>
        </w:tc>
        <w:tc>
          <w:tcPr>
            <w:tcW w:type="dxa" w:w="3628"/>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Coherent（COHR）</w:t>
            </w:r>
          </w:p>
        </w:tc>
      </w:tr>
      <w:tr>
        <w:tc>
          <w:tcPr>
            <w:tcW w:type="dxa" w:w="181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**股权投资</w:t>
            </w:r>
          </w:p>
        </w:tc>
        <w:tc>
          <w:tcPr>
            <w:tcW w:type="dxa" w:w="362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20亿美元（换取普通股）</w:t>
            </w:r>
          </w:p>
        </w:tc>
        <w:tc>
          <w:tcPr>
            <w:tcW w:type="dxa" w:w="362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20亿美元（换取普通股）</w:t>
            </w:r>
          </w:p>
        </w:tc>
      </w:tr>
      <w:tr>
        <w:tc>
          <w:tcPr>
            <w:tcW w:type="dxa" w:w="181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**采购承诺</w:t>
            </w:r>
          </w:p>
        </w:tc>
        <w:tc>
          <w:tcPr>
            <w:tcW w:type="dxa" w:w="362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数十亿美元级，多年期</w:t>
            </w:r>
          </w:p>
        </w:tc>
        <w:tc>
          <w:tcPr>
            <w:tcW w:type="dxa" w:w="362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数十亿美元级，多年期</w:t>
            </w:r>
          </w:p>
        </w:tc>
      </w:tr>
      <w:tr>
        <w:tc>
          <w:tcPr>
            <w:tcW w:type="dxa" w:w="181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**产能/产品获取权</w:t>
            </w:r>
          </w:p>
        </w:tc>
        <w:tc>
          <w:tcPr>
            <w:tcW w:type="dxa" w:w="362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先进激光组件未来产能优先使用权</w:t>
            </w:r>
          </w:p>
        </w:tc>
        <w:tc>
          <w:tcPr>
            <w:tcW w:type="dxa" w:w="362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先进激光及光网络产品未来产能与访问权</w:t>
            </w:r>
          </w:p>
        </w:tc>
      </w:tr>
      <w:tr>
        <w:tc>
          <w:tcPr>
            <w:tcW w:type="dxa" w:w="181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**协议性质</w:t>
            </w:r>
          </w:p>
        </w:tc>
        <w:tc>
          <w:tcPr>
            <w:tcW w:type="dxa" w:w="362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非独家（nonexclusive）</w:t>
            </w:r>
          </w:p>
        </w:tc>
        <w:tc>
          <w:tcPr>
            <w:tcW w:type="dxa" w:w="362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非独家（nonexclusive）</w:t>
            </w:r>
          </w:p>
        </w:tc>
      </w:tr>
      <w:tr>
        <w:tc>
          <w:tcPr>
            <w:tcW w:type="dxa" w:w="181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**资金投向</w:t>
            </w:r>
          </w:p>
        </w:tc>
        <w:tc>
          <w:tcPr>
            <w:tcW w:type="dxa" w:w="362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研发、未来产能、运营；新建美国本土晶圆厂</w:t>
            </w:r>
          </w:p>
        </w:tc>
        <w:tc>
          <w:tcPr>
            <w:tcW w:type="dxa" w:w="362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研发、未来产能、运营；扩建美国本土制造能力</w:t>
            </w:r>
          </w:p>
        </w:tc>
      </w:tr>
      <w:tr>
        <w:tc>
          <w:tcPr>
            <w:tcW w:type="dxa" w:w="181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**合作重点</w:t>
            </w:r>
          </w:p>
        </w:tc>
        <w:tc>
          <w:tcPr>
            <w:tcW w:type="dxa" w:w="362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全球最先进硅光子；吉瓦级 AI 工厂</w:t>
            </w:r>
          </w:p>
        </w:tc>
        <w:tc>
          <w:tcPr>
            <w:tcW w:type="dxa" w:w="362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下一代硅光子；超高带宽、高能效 AI 基础设施</w:t>
            </w:r>
          </w:p>
        </w:tc>
      </w:tr>
    </w:tbl>
    <w:p>
      <w:pPr>
        <w:spacing w:after="40"/>
      </w:pPr>
    </w:p>
    <w:tbl>
      <w:tblPr>
        <w:tblW w:type="auto" w:w="0"/>
        <w:jc w:val="center"/>
        <w:tblLook w:firstColumn="1" w:firstRow="1" w:lastColumn="0" w:lastRow="0" w:noHBand="0" w:noVBand="1" w:val="04A0"/>
      </w:tblPr>
      <w:tblGrid>
        <w:gridCol w:w="9406"/>
      </w:tblGrid>
      <w:tr>
        <w:tc>
          <w:tcPr>
            <w:tcW w:type="dxa" w:w="9071"/>
            <w:shd w:val="clear" w:color="auto" w:fill="EEF3F8"/>
            <w:tcBorders>
              <w:left w:val="single" w:sz="24" w:color="0B5A8C"/>
              <w:top w:val="nil"/>
              <w:bottom w:val="nil"/>
              <w:right w:val="nil"/>
            </w:tcBorders>
          </w:tcPr>
          <w:p>
            <w:pPr>
              <w:spacing w:before="80" w:after="80" w:line="300" w:lineRule="auto"/>
            </w:pPr>
            <w:r>
              <w:rPr>
                <w:rFonts w:ascii="微软雅黑" w:hAnsi="微软雅黑" w:eastAsia="微软雅黑"/>
                <w:i/>
                <w:color w:val="333333"/>
                <w:sz w:val="21"/>
              </w:rPr>
              <w:t>AI has reinvented computing and is driving the largest computing infrastructure buildout in history. Together with Lumentum, NVIDIA is advancing the world's most sophisticated silicon photonics to build the next generation of gigawatt-scale AI factories.</w:t>
            </w:r>
          </w:p>
          <w:p>
            <w:pPr>
              <w:spacing w:after="40"/>
              <w:jc w:val="right"/>
            </w:pPr>
            <w:r>
              <w:rPr>
                <w:rFonts w:ascii="微软雅黑" w:hAnsi="微软雅黑" w:eastAsia="微软雅黑"/>
                <w:color w:val="555555"/>
                <w:sz w:val="18"/>
              </w:rPr>
              <w:t>— 黄仁勋（Jensen Huang），英伟达创始人兼 CEO</w:t>
            </w:r>
          </w:p>
        </w:tc>
      </w:tr>
    </w:tbl>
    <w:p>
      <w:pPr>
        <w:spacing w:after="40"/>
      </w:pPr>
    </w:p>
    <w:tbl>
      <w:tblPr>
        <w:tblW w:type="auto" w:w="0"/>
        <w:jc w:val="center"/>
        <w:tblLook w:firstColumn="1" w:firstRow="1" w:lastColumn="0" w:lastRow="0" w:noHBand="0" w:noVBand="1" w:val="04A0"/>
      </w:tblPr>
      <w:tblGrid>
        <w:gridCol w:w="9406"/>
      </w:tblGrid>
      <w:tr>
        <w:tc>
          <w:tcPr>
            <w:tcW w:type="dxa" w:w="9071"/>
            <w:shd w:val="clear" w:color="auto" w:fill="EEF3F8"/>
            <w:tcBorders>
              <w:left w:val="single" w:sz="24" w:color="0B5A8C"/>
              <w:top w:val="nil"/>
              <w:bottom w:val="nil"/>
              <w:right w:val="nil"/>
            </w:tcBorders>
          </w:tcPr>
          <w:p>
            <w:pPr>
              <w:spacing w:before="80" w:after="80" w:line="300" w:lineRule="auto"/>
            </w:pPr>
            <w:r>
              <w:rPr>
                <w:rFonts w:ascii="微软雅黑" w:hAnsi="微软雅黑" w:eastAsia="微软雅黑"/>
                <w:i/>
                <w:color w:val="333333"/>
                <w:sz w:val="21"/>
              </w:rPr>
              <w:t>Computing has fundamentally changed. In the age of AI, software runs on intelligence with tokens generated in real time by AI factories for every interaction and every context. With Coherent, NVIDIA is pioneering next-generation silicon photonics to enable AI infrastructure at unprecedented scale, speed and energy efficiency.</w:t>
            </w:r>
          </w:p>
          <w:p>
            <w:pPr>
              <w:spacing w:after="40"/>
              <w:jc w:val="right"/>
            </w:pPr>
            <w:r>
              <w:rPr>
                <w:rFonts w:ascii="微软雅黑" w:hAnsi="微软雅黑" w:eastAsia="微软雅黑"/>
                <w:color w:val="555555"/>
                <w:sz w:val="18"/>
              </w:rPr>
              <w:t>— 黄仁勋，英伟达创始人兼 CEO</w:t>
            </w:r>
          </w:p>
        </w:tc>
      </w:tr>
    </w:tbl>
    <w:p>
      <w:pPr>
        <w:spacing w:after="40"/>
      </w:pPr>
    </w:p>
    <w:p>
      <w:pPr>
        <w:spacing w:after="120" w:before="0" w:line="312" w:lineRule="auto"/>
        <w:ind w:firstLine="420"/>
      </w:pPr>
      <w:r>
        <w:rPr>
          <w:rFonts w:ascii="微软雅黑" w:hAnsi="微软雅黑" w:eastAsia="微软雅黑"/>
          <w:b w:val="0"/>
          <w:i w:val="0"/>
          <w:color w:val="1A1A1A"/>
          <w:sz w:val="21"/>
        </w:rPr>
        <w:t>需要强调三点结构性特征：第一，协议均为“非独家”，意味着英伟达有意维持双供应商竞争以压低成本、分散风险；第二，两家公司在公告中均提及“英伟达将以投资换取普通股”，表明这是股权性战略投资而非可转债或纯采购预付款；第三，资金明确指向“美国本土制造能力建设”，呼应全球供应链“去风险”与本土化趋势。</w:t>
      </w:r>
    </w:p>
    <w:p>
      <w:pPr>
        <w:keepNext/>
        <w:spacing w:before="200" w:after="80"/>
      </w:pPr>
      <w:r>
        <w:rPr>
          <w:rFonts w:ascii="微软雅黑" w:hAnsi="微软雅黑" w:eastAsia="微软雅黑"/>
          <w:b/>
          <w:color w:val="76B900"/>
          <w:sz w:val="25"/>
        </w:rPr>
        <w:t xml:space="preserve">1.2  </w:t>
      </w:r>
      <w:r>
        <w:rPr>
          <w:rFonts w:ascii="微软雅黑" w:hAnsi="微软雅黑" w:eastAsia="微软雅黑"/>
          <w:b/>
          <w:color w:val="1A1A1A"/>
          <w:sz w:val="25"/>
        </w:rPr>
        <w:t>资金落地与产能锁定：从2027到2030</w:t>
      </w:r>
    </w:p>
    <w:p>
      <w:pPr>
        <w:spacing w:after="80" w:before="0" w:line="312" w:lineRule="auto"/>
        <w:ind w:firstLine="420"/>
      </w:pPr>
      <w:r>
        <w:rPr>
          <w:rFonts w:ascii="微软雅黑" w:hAnsi="微软雅黑" w:eastAsia="微软雅黑"/>
          <w:b w:val="0"/>
          <w:i w:val="0"/>
          <w:color w:val="1A1A1A"/>
          <w:sz w:val="21"/>
        </w:rPr>
        <w:t>摩根大通（J.P. Morgan）随后披露了资金落地的具体细节，揭示了英伟达“提前备料”的时间表：</w:t>
      </w:r>
    </w:p>
    <w:tbl>
      <w:tblPr>
        <w:tblW w:type="auto" w:w="0"/>
        <w:jc w:val="center"/>
        <w:tblLayout w:type="fixed"/>
        <w:tblLook w:firstColumn="1" w:firstRow="1" w:lastColumn="0" w:lastRow="0" w:noHBand="0" w:noVBand="1" w:val="04A0"/>
      </w:tblPr>
      <w:tblGrid>
        <w:gridCol w:w="3135"/>
        <w:gridCol w:w="3135"/>
        <w:gridCol w:w="3135"/>
      </w:tblGrid>
      <w:tr>
        <w:tc>
          <w:tcPr>
            <w:tcW w:type="dxa" w:w="1984"/>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维度</w:t>
            </w:r>
          </w:p>
        </w:tc>
        <w:tc>
          <w:tcPr>
            <w:tcW w:type="dxa" w:w="3515"/>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Coherent</w:t>
            </w:r>
          </w:p>
        </w:tc>
        <w:tc>
          <w:tcPr>
            <w:tcW w:type="dxa" w:w="3572"/>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Lumentum</w:t>
            </w:r>
          </w:p>
        </w:tc>
      </w:tr>
      <w:tr>
        <w:tc>
          <w:tcPr>
            <w:tcW w:type="dxa" w:w="198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**资金优先用途</w:t>
            </w:r>
          </w:p>
        </w:tc>
        <w:tc>
          <w:tcPr>
            <w:tcW w:type="dxa" w:w="351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资本支出，扩大德州 Sherman 工厂 InP 产能</w:t>
            </w:r>
          </w:p>
        </w:tc>
        <w:tc>
          <w:tcPr>
            <w:tcW w:type="dxa" w:w="3572"/>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在美国建设一座“全新”晶圆厂</w:t>
            </w:r>
          </w:p>
        </w:tc>
      </w:tr>
      <w:tr>
        <w:tc>
          <w:tcPr>
            <w:tcW w:type="dxa" w:w="198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**采购承诺起算</w:t>
            </w:r>
          </w:p>
        </w:tc>
        <w:tc>
          <w:tcPr>
            <w:tcW w:type="dxa" w:w="351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2027年初</w:t>
            </w:r>
          </w:p>
        </w:tc>
        <w:tc>
          <w:tcPr>
            <w:tcW w:type="dxa" w:w="3572"/>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对既有数亿美元订单为增量</w:t>
            </w:r>
          </w:p>
        </w:tc>
      </w:tr>
      <w:tr>
        <w:tc>
          <w:tcPr>
            <w:tcW w:type="dxa" w:w="198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**合作延续</w:t>
            </w:r>
          </w:p>
        </w:tc>
        <w:tc>
          <w:tcPr>
            <w:tcW w:type="dxa" w:w="351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延续至2030年</w:t>
            </w:r>
          </w:p>
        </w:tc>
        <w:tc>
          <w:tcPr>
            <w:tcW w:type="dxa" w:w="3572"/>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增量收入预计2027H2起体现</w:t>
            </w:r>
          </w:p>
        </w:tc>
      </w:tr>
      <w:tr>
        <w:tc>
          <w:tcPr>
            <w:tcW w:type="dxa" w:w="198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**既有订单情况</w:t>
            </w:r>
          </w:p>
        </w:tc>
        <w:tc>
          <w:tcPr>
            <w:tcW w:type="dxa" w:w="351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w:t>
            </w:r>
          </w:p>
        </w:tc>
        <w:tc>
          <w:tcPr>
            <w:tcW w:type="dxa" w:w="3572"/>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此前已披露数亿美元订单，预计2027H1兑现</w:t>
            </w:r>
          </w:p>
        </w:tc>
      </w:tr>
      <w:tr>
        <w:tc>
          <w:tcPr>
            <w:tcW w:type="dxa" w:w="198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**核心瓶颈对应</w:t>
            </w:r>
          </w:p>
        </w:tc>
        <w:tc>
          <w:tcPr>
            <w:tcW w:type="dxa" w:w="351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InP 激光器产能（CEO 警示或受限至2027年）</w:t>
            </w:r>
          </w:p>
        </w:tc>
        <w:tc>
          <w:tcPr>
            <w:tcW w:type="dxa" w:w="3572"/>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InP 激光器产能 + 全新晶圆厂</w:t>
            </w:r>
          </w:p>
        </w:tc>
      </w:tr>
    </w:tbl>
    <w:p>
      <w:pPr>
        <w:spacing w:after="40"/>
      </w:pP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Lumentum 产能现状：</w:t>
      </w:r>
      <w:r>
        <w:rPr>
          <w:rFonts w:ascii="微软雅黑" w:hAnsi="微软雅黑" w:eastAsia="微软雅黑"/>
          <w:color w:val="1A1A1A"/>
          <w:sz w:val="21"/>
        </w:rPr>
        <w:t>Lumentum 现有4座 InP 晶圆厂，并计划新建第5座；过去12—18个月 InP 产出已增长4倍，但需求仍持续超出供给。</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Coherent 产能现状：</w:t>
      </w:r>
      <w:r>
        <w:rPr>
          <w:rFonts w:ascii="微软雅黑" w:hAnsi="微软雅黑" w:eastAsia="微软雅黑"/>
          <w:color w:val="1A1A1A"/>
          <w:sz w:val="21"/>
        </w:rPr>
        <w:t>Coherent CEO Jim Anderson 明确表示“行业在 InP 上受限，很可能持续到2027年”，并指出“物理规律正把行业推向几乎每个数据中心连接都全光化的市场”。</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锁定标的：</w:t>
      </w:r>
      <w:r>
        <w:rPr>
          <w:rFonts w:ascii="微软雅黑" w:hAnsi="微软雅黑" w:eastAsia="微软雅黑"/>
          <w:color w:val="1A1A1A"/>
          <w:sz w:val="21"/>
        </w:rPr>
        <w:t>巴克莱判断，“这笔交易的大部分目标指向400mW的连续波（CW）激光器”；摩根大通亦强调与 Coherent 合作“包括用于 CPO 的超高功率 CW 激光器”。</w:t>
      </w:r>
    </w:p>
    <w:tbl>
      <w:tblPr>
        <w:tblW w:type="auto" w:w="0"/>
        <w:jc w:val="center"/>
        <w:tblLook w:firstColumn="1" w:firstRow="1" w:lastColumn="0" w:lastRow="0" w:noHBand="0" w:noVBand="1" w:val="04A0"/>
      </w:tblPr>
      <w:tblGrid>
        <w:gridCol w:w="9406"/>
      </w:tblGrid>
      <w:tr>
        <w:tc>
          <w:tcPr>
            <w:tcW w:type="dxa" w:w="9071"/>
            <w:shd w:val="clear" w:color="auto" w:fill="FFF4E6"/>
            <w:tcBorders>
              <w:left w:val="single" w:sz="24" w:color="C05A1C"/>
              <w:top w:val="nil"/>
              <w:bottom w:val="nil"/>
              <w:right w:val="nil"/>
            </w:tcBorders>
          </w:tcPr>
          <w:p>
            <w:pPr>
              <w:spacing w:before="60" w:after="60"/>
            </w:pPr>
            <w:r>
              <w:rPr>
                <w:rFonts w:ascii="微软雅黑" w:hAnsi="微软雅黑" w:eastAsia="微软雅黑"/>
                <w:b/>
                <w:color w:val="C05A1C"/>
                <w:sz w:val="20"/>
              </w:rPr>
              <w:t xml:space="preserve">▼ 关键数据  </w:t>
            </w:r>
            <w:r>
              <w:rPr>
                <w:rFonts w:ascii="微软雅黑" w:hAnsi="微软雅黑" w:eastAsia="微软雅黑"/>
                <w:b/>
                <w:color w:val="1A1A1A"/>
                <w:sz w:val="20"/>
              </w:rPr>
              <w:t xml:space="preserve">英伟达采购承诺时间跨度  </w:t>
            </w:r>
            <w:r>
              <w:rPr>
                <w:rFonts w:ascii="微软雅黑" w:hAnsi="微软雅黑" w:eastAsia="微软雅黑"/>
                <w:b/>
                <w:color w:val="C05A1C"/>
                <w:sz w:val="21"/>
              </w:rPr>
              <w:t>2027年初 → 2030年 （摩根大通披露）</w:t>
            </w:r>
          </w:p>
        </w:tc>
      </w:tr>
    </w:tbl>
    <w:p>
      <w:pPr>
        <w:spacing w:after="40"/>
      </w:pPr>
    </w:p>
    <w:p>
      <w:pPr>
        <w:keepNext/>
        <w:spacing w:before="200" w:after="80"/>
      </w:pPr>
      <w:r>
        <w:rPr>
          <w:rFonts w:ascii="微软雅黑" w:hAnsi="微软雅黑" w:eastAsia="微软雅黑"/>
          <w:b/>
          <w:color w:val="76B900"/>
          <w:sz w:val="25"/>
        </w:rPr>
        <w:t xml:space="preserve">1.3  </w:t>
      </w:r>
      <w:r>
        <w:rPr>
          <w:rFonts w:ascii="微软雅黑" w:hAnsi="微软雅黑" w:eastAsia="微软雅黑"/>
          <w:b/>
          <w:color w:val="1A1A1A"/>
          <w:sz w:val="25"/>
        </w:rPr>
        <w:t>市场反应与机构解读</w:t>
      </w:r>
    </w:p>
    <w:p>
      <w:pPr>
        <w:spacing w:after="80" w:before="0" w:line="312" w:lineRule="auto"/>
        <w:ind w:firstLine="420"/>
      </w:pPr>
      <w:r>
        <w:rPr>
          <w:rFonts w:ascii="微软雅黑" w:hAnsi="微软雅黑" w:eastAsia="微软雅黑"/>
          <w:b w:val="0"/>
          <w:i w:val="0"/>
          <w:color w:val="1A1A1A"/>
          <w:sz w:val="21"/>
        </w:rPr>
        <w:t>消息公布当日（3月2日），资本市场反应强烈且方向一致：</w:t>
      </w:r>
    </w:p>
    <w:tbl>
      <w:tblPr>
        <w:tblW w:type="auto" w:w="0"/>
        <w:jc w:val="center"/>
        <w:tblLayout w:type="fixed"/>
        <w:tblLook w:firstColumn="1" w:firstRow="1" w:lastColumn="0" w:lastRow="0" w:noHBand="0" w:noVBand="1" w:val="04A0"/>
      </w:tblPr>
      <w:tblGrid>
        <w:gridCol w:w="3135"/>
        <w:gridCol w:w="3135"/>
        <w:gridCol w:w="3135"/>
      </w:tblGrid>
      <w:tr>
        <w:tc>
          <w:tcPr>
            <w:tcW w:type="dxa" w:w="2835"/>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标的</w:t>
            </w:r>
          </w:p>
        </w:tc>
        <w:tc>
          <w:tcPr>
            <w:tcW w:type="dxa" w:w="1984"/>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当日涨幅</w:t>
            </w:r>
          </w:p>
        </w:tc>
        <w:tc>
          <w:tcPr>
            <w:tcW w:type="dxa" w:w="4252"/>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信号</w:t>
            </w:r>
          </w:p>
        </w:tc>
      </w:tr>
      <w:tr>
        <w:tc>
          <w:tcPr>
            <w:tcW w:type="dxa" w:w="283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**Coherent（COHR）</w:t>
            </w:r>
          </w:p>
        </w:tc>
        <w:tc>
          <w:tcPr>
            <w:tcW w:type="dxa" w:w="198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+15.44%</w:t>
            </w:r>
          </w:p>
        </w:tc>
        <w:tc>
          <w:tcPr>
            <w:tcW w:type="dxa" w:w="4252"/>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光模块/光器件龙头，受益最直接</w:t>
            </w:r>
          </w:p>
        </w:tc>
      </w:tr>
      <w:tr>
        <w:tc>
          <w:tcPr>
            <w:tcW w:type="dxa" w:w="283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**Lumentum（LITE）</w:t>
            </w:r>
          </w:p>
        </w:tc>
        <w:tc>
          <w:tcPr>
            <w:tcW w:type="dxa" w:w="198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+11.75%</w:t>
            </w:r>
          </w:p>
        </w:tc>
        <w:tc>
          <w:tcPr>
            <w:tcW w:type="dxa" w:w="4252"/>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CPO 激光器核心供应商</w:t>
            </w:r>
          </w:p>
        </w:tc>
      </w:tr>
      <w:tr>
        <w:tc>
          <w:tcPr>
            <w:tcW w:type="dxa" w:w="283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**英伟达（NVDA）</w:t>
            </w:r>
          </w:p>
        </w:tc>
        <w:tc>
          <w:tcPr>
            <w:tcW w:type="dxa" w:w="198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约+3%</w:t>
            </w:r>
          </w:p>
        </w:tc>
        <w:tc>
          <w:tcPr>
            <w:tcW w:type="dxa" w:w="4252"/>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战略布局获市场认可</w:t>
            </w:r>
          </w:p>
        </w:tc>
      </w:tr>
    </w:tbl>
    <w:p>
      <w:pPr>
        <w:spacing w:after="40"/>
      </w:pP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巴克莱：</w:t>
      </w:r>
      <w:r>
        <w:rPr>
          <w:rFonts w:ascii="微软雅黑" w:hAnsi="微软雅黑" w:eastAsia="微软雅黑"/>
          <w:color w:val="1A1A1A"/>
          <w:sz w:val="21"/>
        </w:rPr>
        <w:t>英伟达此次投资是为 CPO 的“供应保护”，时点“并不意外”——很可能在 GTC 大会上公开讨论新的 CPO 解决方案。</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Yole Group：</w:t>
      </w:r>
      <w:r>
        <w:rPr>
          <w:rFonts w:ascii="微软雅黑" w:hAnsi="微软雅黑" w:eastAsia="微软雅黑"/>
          <w:color w:val="1A1A1A"/>
          <w:sz w:val="21"/>
        </w:rPr>
        <w:t>Yole Group 评论称，两笔20亿美元投资“是一个响亮的信号”——“AI 基础设施的下一个瓶颈将不再是算力，而是互连”。</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英伟达高管：</w:t>
      </w:r>
      <w:r>
        <w:rPr>
          <w:rFonts w:ascii="微软雅黑" w:hAnsi="微软雅黑" w:eastAsia="微软雅黑"/>
          <w:color w:val="1A1A1A"/>
          <w:sz w:val="21"/>
        </w:rPr>
        <w:t>英伟达网络高级副总裁 Gilad Shainer 表示，CPO 在提升能效与系统可靠性方面扮演关键角色，将于2026年内启动规模部署。</w:t>
      </w:r>
    </w:p>
    <w:tbl>
      <w:tblPr>
        <w:tblW w:type="auto" w:w="0"/>
        <w:jc w:val="center"/>
        <w:tblLook w:firstColumn="1" w:firstRow="1" w:lastColumn="0" w:lastRow="0" w:noHBand="0" w:noVBand="1" w:val="04A0"/>
      </w:tblPr>
      <w:tblGrid>
        <w:gridCol w:w="9406"/>
      </w:tblGrid>
      <w:tr>
        <w:tc>
          <w:tcPr>
            <w:tcW w:type="dxa" w:w="9071"/>
            <w:shd w:val="clear" w:color="auto" w:fill="EEF3F8"/>
            <w:tcBorders>
              <w:left w:val="single" w:sz="24" w:color="0B5A8C"/>
              <w:top w:val="nil"/>
              <w:bottom w:val="nil"/>
              <w:right w:val="nil"/>
            </w:tcBorders>
          </w:tcPr>
          <w:p>
            <w:pPr>
              <w:spacing w:before="80" w:after="80" w:line="300" w:lineRule="auto"/>
            </w:pPr>
            <w:r>
              <w:rPr>
                <w:rFonts w:ascii="微软雅黑" w:hAnsi="微软雅黑" w:eastAsia="微软雅黑"/>
                <w:i/>
                <w:color w:val="333333"/>
                <w:sz w:val="21"/>
              </w:rPr>
              <w:t>The investments in Coherent and Lumentum are a loud signal that the next bottleneck for AI infrastructure won't be compute, but connectivity. That's why NVIDIA is doubling down on advanced lasers and silicon photonics. The objective is clear: unlock the next generation of interconnect.</w:t>
            </w:r>
          </w:p>
          <w:p>
            <w:pPr>
              <w:spacing w:after="40"/>
              <w:jc w:val="right"/>
            </w:pPr>
            <w:r>
              <w:rPr>
                <w:rFonts w:ascii="微软雅黑" w:hAnsi="微软雅黑" w:eastAsia="微软雅黑"/>
                <w:color w:val="555555"/>
                <w:sz w:val="18"/>
              </w:rPr>
              <w:t>— Martin Vallo，Yole Group 高级分析师（光子学）</w:t>
            </w:r>
          </w:p>
        </w:tc>
      </w:tr>
    </w:tbl>
    <w:p>
      <w:pPr>
        <w:spacing w:after="40"/>
      </w:pPr>
    </w:p>
    <w:p>
      <w:r>
        <w:br w:type="page"/>
      </w:r>
    </w:p>
    <w:p>
      <w:pPr>
        <w:keepNext/>
        <w:spacing w:before="320" w:after="160"/>
        <w:pBdr>
          <w:bottom w:val="single" w:sz="8" w:space="4" w:color="76B900"/>
        </w:pBdr>
      </w:pPr>
      <w:r>
        <w:rPr>
          <w:rFonts w:ascii="微软雅黑" w:hAnsi="微软雅黑" w:eastAsia="微软雅黑"/>
          <w:b/>
          <w:color w:val="76B900"/>
          <w:sz w:val="30"/>
        </w:rPr>
        <w:t xml:space="preserve">■ </w:t>
      </w:r>
      <w:r>
        <w:rPr>
          <w:rFonts w:ascii="微软雅黑" w:hAnsi="微软雅黑" w:eastAsia="微软雅黑"/>
          <w:b/>
          <w:color w:val="0B5A8C"/>
          <w:sz w:val="30"/>
        </w:rPr>
        <w:t xml:space="preserve">第二章  </w:t>
      </w:r>
      <w:r>
        <w:rPr>
          <w:rFonts w:ascii="微软雅黑" w:hAnsi="微软雅黑" w:eastAsia="微软雅黑"/>
          <w:b/>
          <w:color w:val="1A1A1A"/>
          <w:sz w:val="30"/>
        </w:rPr>
        <w:t>技术演进逻辑：从铜到光的必然</w:t>
      </w:r>
    </w:p>
    <w:p>
      <w:pPr>
        <w:keepNext/>
        <w:spacing w:before="200" w:after="80"/>
      </w:pPr>
      <w:r>
        <w:rPr>
          <w:rFonts w:ascii="微软雅黑" w:hAnsi="微软雅黑" w:eastAsia="微软雅黑"/>
          <w:b/>
          <w:color w:val="76B900"/>
          <w:sz w:val="25"/>
        </w:rPr>
        <w:t xml:space="preserve">2.1  </w:t>
      </w:r>
      <w:r>
        <w:rPr>
          <w:rFonts w:ascii="微软雅黑" w:hAnsi="微软雅黑" w:eastAsia="微软雅黑"/>
          <w:b/>
          <w:color w:val="1A1A1A"/>
          <w:sz w:val="25"/>
        </w:rPr>
        <w:t>三重墙：带宽、功耗、密度</w:t>
      </w:r>
    </w:p>
    <w:p>
      <w:pPr>
        <w:spacing w:after="120" w:before="0" w:line="312" w:lineRule="auto"/>
        <w:ind w:firstLine="420"/>
      </w:pPr>
      <w:r>
        <w:rPr>
          <w:rFonts w:ascii="微软雅黑" w:hAnsi="微软雅黑" w:eastAsia="微软雅黑"/>
          <w:b w:val="0"/>
          <w:i w:val="0"/>
          <w:color w:val="1A1A1A"/>
          <w:sz w:val="21"/>
        </w:rPr>
        <w:t>理解英伟达为何重注 CPO，须先理解 AI 数据中心正同时撞上三堵“墙”：</w:t>
      </w:r>
    </w:p>
    <w:p>
      <w:pPr>
        <w:keepNext/>
        <w:spacing w:before="140" w:after="60"/>
      </w:pPr>
      <w:r>
        <w:rPr>
          <w:rFonts w:ascii="微软雅黑" w:hAnsi="微软雅黑" w:eastAsia="微软雅黑"/>
          <w:b/>
          <w:color w:val="0B5A8C"/>
          <w:sz w:val="22"/>
        </w:rPr>
        <w:t>◆ 墙一：带宽墙（Bandwidth Wall）</w:t>
      </w:r>
    </w:p>
    <w:p>
      <w:pPr>
        <w:spacing w:after="100" w:before="0" w:line="312" w:lineRule="auto"/>
        <w:ind w:firstLine="420"/>
      </w:pPr>
      <w:r>
        <w:rPr>
          <w:rFonts w:ascii="微软雅黑" w:hAnsi="微软雅黑" w:eastAsia="微软雅黑"/>
          <w:b w:val="0"/>
          <w:i w:val="0"/>
          <w:color w:val="1A1A1A"/>
          <w:sz w:val="21"/>
        </w:rPr>
        <w:t>过去20年，计算性能借摩尔定律提升约60000倍，而 I/O 带宽仅增长约30倍。数据中心带宽需求每2—3年翻倍，传统可插拔光模块的带宽增长曲线远跟不上流量增长，缺口持续扩大。IBM 研究指出，仅缓解通信瓶颈带来的训练时间与能耗节省，就相当于“每年为约5000户美国家庭供电”。</w:t>
      </w:r>
    </w:p>
    <w:p>
      <w:pPr>
        <w:keepNext/>
        <w:spacing w:before="140" w:after="60"/>
      </w:pPr>
      <w:r>
        <w:rPr>
          <w:rFonts w:ascii="微软雅黑" w:hAnsi="微软雅黑" w:eastAsia="微软雅黑"/>
          <w:b/>
          <w:color w:val="0B5A8C"/>
          <w:sz w:val="22"/>
        </w:rPr>
        <w:t>◆ 墙二：功耗墙（Power Wall）</w:t>
      </w:r>
    </w:p>
    <w:p>
      <w:pPr>
        <w:spacing w:after="100" w:before="0" w:line="312" w:lineRule="auto"/>
        <w:ind w:firstLine="420"/>
      </w:pPr>
      <w:r>
        <w:rPr>
          <w:rFonts w:ascii="微软雅黑" w:hAnsi="微软雅黑" w:eastAsia="微软雅黑"/>
          <w:b w:val="0"/>
          <w:i w:val="0"/>
          <w:color w:val="1A1A1A"/>
          <w:sz w:val="21"/>
        </w:rPr>
        <w:t>单通道速率从10G的约1W，已升至1.6T八通道模块的约30W。光模块 typically 占网络交换机功耗的40%以上，整机柜网络功耗可达千瓦级。可插拔方案中 DSP（数字信号处理）重定时是功耗大头，在 AI 工厂兆瓦级功耗预算下成为不可承受之重。</w:t>
      </w:r>
    </w:p>
    <w:p>
      <w:pPr>
        <w:keepNext/>
        <w:spacing w:before="140" w:after="60"/>
      </w:pPr>
      <w:r>
        <w:rPr>
          <w:rFonts w:ascii="微软雅黑" w:hAnsi="微软雅黑" w:eastAsia="微软雅黑"/>
          <w:b/>
          <w:color w:val="0B5A8C"/>
          <w:sz w:val="22"/>
        </w:rPr>
        <w:t>◆ 墙三：密度与铜墙（Density &amp; Copper Wall）</w:t>
      </w:r>
    </w:p>
    <w:p>
      <w:pPr>
        <w:spacing w:after="100" w:before="0" w:line="312" w:lineRule="auto"/>
        <w:ind w:firstLine="420"/>
      </w:pPr>
      <w:r>
        <w:rPr>
          <w:rFonts w:ascii="微软雅黑" w:hAnsi="微软雅黑" w:eastAsia="微软雅黑"/>
          <w:b w:val="0"/>
          <w:i w:val="0"/>
          <w:color w:val="1A1A1A"/>
          <w:sz w:val="21"/>
        </w:rPr>
        <w:t>SerDes 速率从224G向448G演进时，铜缆 reach 急剧缩短：200G/lane 时铜缆可达约2米，400G/lane 时铜缆几乎不可工程化。这意味着以 NVLink 为代表的柜内 Scale-up 铜互连将触顶，被迫向光互连迁移。同时，前面板端口密度、光纤管理与信号完整性亦逼近物理极限。</w:t>
      </w:r>
    </w:p>
    <w:tbl>
      <w:tblPr>
        <w:tblW w:type="auto" w:w="0"/>
        <w:jc w:val="center"/>
        <w:tblLook w:firstColumn="1" w:firstRow="1" w:lastColumn="0" w:lastRow="0" w:noHBand="0" w:noVBand="1" w:val="04A0"/>
      </w:tblPr>
      <w:tblGrid>
        <w:gridCol w:w="9406"/>
      </w:tblGrid>
      <w:tr>
        <w:tc>
          <w:tcPr>
            <w:tcW w:type="dxa" w:w="9071"/>
            <w:shd w:val="clear" w:color="auto" w:fill="FFF4E6"/>
            <w:tcBorders>
              <w:left w:val="single" w:sz="24" w:color="C05A1C"/>
              <w:top w:val="nil"/>
              <w:bottom w:val="nil"/>
              <w:right w:val="nil"/>
            </w:tcBorders>
          </w:tcPr>
          <w:p>
            <w:pPr>
              <w:spacing w:before="60" w:after="60"/>
            </w:pPr>
            <w:r>
              <w:rPr>
                <w:rFonts w:ascii="微软雅黑" w:hAnsi="微软雅黑" w:eastAsia="微软雅黑"/>
                <w:b/>
                <w:color w:val="C05A1C"/>
                <w:sz w:val="20"/>
              </w:rPr>
              <w:t xml:space="preserve">▼ 关键数据  </w:t>
            </w:r>
            <w:r>
              <w:rPr>
                <w:rFonts w:ascii="微软雅黑" w:hAnsi="微软雅黑" w:eastAsia="微软雅黑"/>
                <w:b/>
                <w:color w:val="1A1A1A"/>
                <w:sz w:val="20"/>
              </w:rPr>
              <w:t xml:space="preserve">可插拔 vs CPO 单1.6T端口功耗  </w:t>
            </w:r>
            <w:r>
              <w:rPr>
                <w:rFonts w:ascii="微软雅黑" w:hAnsi="微软雅黑" w:eastAsia="微软雅黑"/>
                <w:b/>
                <w:color w:val="C05A1C"/>
                <w:sz w:val="21"/>
              </w:rPr>
              <w:t>约30W → 约9W （英伟达披露，降幅约70%）</w:t>
            </w:r>
          </w:p>
        </w:tc>
      </w:tr>
    </w:tbl>
    <w:p>
      <w:pPr>
        <w:spacing w:after="40"/>
      </w:pPr>
    </w:p>
    <w:p>
      <w:pPr>
        <w:keepNext/>
        <w:spacing w:before="200" w:after="80"/>
      </w:pPr>
      <w:r>
        <w:rPr>
          <w:rFonts w:ascii="微软雅黑" w:hAnsi="微软雅黑" w:eastAsia="微软雅黑"/>
          <w:b/>
          <w:color w:val="76B900"/>
          <w:sz w:val="25"/>
        </w:rPr>
        <w:t xml:space="preserve">2.2  </w:t>
      </w:r>
      <w:r>
        <w:rPr>
          <w:rFonts w:ascii="微软雅黑" w:hAnsi="微软雅黑" w:eastAsia="微软雅黑"/>
          <w:b/>
          <w:color w:val="1A1A1A"/>
          <w:sz w:val="25"/>
        </w:rPr>
        <w:t>光互连形态演进：Pluggable → OBO → NPO → CPO</w:t>
      </w:r>
    </w:p>
    <w:p>
      <w:pPr>
        <w:spacing w:after="100" w:before="0" w:line="312" w:lineRule="auto"/>
        <w:ind w:firstLine="420"/>
      </w:pPr>
      <w:r>
        <w:rPr>
          <w:rFonts w:ascii="微软雅黑" w:hAnsi="微软雅黑" w:eastAsia="微软雅黑"/>
          <w:b w:val="0"/>
          <w:i w:val="0"/>
          <w:color w:val="1A1A1A"/>
          <w:sz w:val="21"/>
        </w:rPr>
        <w:t>行业对“把光靠近 ASIC”形成了清晰的形态演进阶梯，每一级都缩短电互连距离、提升集成度：</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984"/>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形态</w:t>
            </w:r>
          </w:p>
        </w:tc>
        <w:tc>
          <w:tcPr>
            <w:tcW w:type="dxa" w:w="2381"/>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光引擎位置</w:t>
            </w:r>
          </w:p>
        </w:tc>
        <w:tc>
          <w:tcPr>
            <w:tcW w:type="dxa" w:w="1984"/>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电互连距离</w:t>
            </w:r>
          </w:p>
        </w:tc>
        <w:tc>
          <w:tcPr>
            <w:tcW w:type="dxa" w:w="2721"/>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关键特征</w:t>
            </w:r>
          </w:p>
        </w:tc>
      </w:tr>
      <w:tr>
        <w:tc>
          <w:tcPr>
            <w:tcW w:type="dxa" w:w="198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**Pluggable（可插拔）</w:t>
            </w:r>
          </w:p>
        </w:tc>
        <w:tc>
          <w:tcPr>
            <w:tcW w:type="dxa" w:w="238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前面板可插拔模块</w:t>
            </w:r>
          </w:p>
        </w:tc>
        <w:tc>
          <w:tcPr>
            <w:tcW w:type="dxa" w:w="198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数十厘米（PCB走线）</w:t>
            </w:r>
          </w:p>
        </w:tc>
        <w:tc>
          <w:tcPr>
            <w:tcW w:type="dxa" w:w="272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成熟、可热插拔；DSP重定时功耗高</w:t>
            </w:r>
          </w:p>
        </w:tc>
      </w:tr>
      <w:tr>
        <w:tc>
          <w:tcPr>
            <w:tcW w:type="dxa" w:w="198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**OBO（板载光学）</w:t>
            </w:r>
          </w:p>
        </w:tc>
        <w:tc>
          <w:tcPr>
            <w:tcW w:type="dxa" w:w="238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PCB板上模块</w:t>
            </w:r>
          </w:p>
        </w:tc>
        <w:tc>
          <w:tcPr>
            <w:tcW w:type="dxa" w:w="198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中短距</w:t>
            </w:r>
          </w:p>
        </w:tc>
        <w:tc>
          <w:tcPr>
            <w:tcW w:type="dxa" w:w="272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COBO规范，缩短走线；维护性下降</w:t>
            </w:r>
          </w:p>
        </w:tc>
      </w:tr>
      <w:tr>
        <w:tc>
          <w:tcPr>
            <w:tcW w:type="dxa" w:w="198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**NPO（近封装光学）</w:t>
            </w:r>
          </w:p>
        </w:tc>
        <w:tc>
          <w:tcPr>
            <w:tcW w:type="dxa" w:w="238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ASIC封装附近基板</w:t>
            </w:r>
          </w:p>
        </w:tc>
        <w:tc>
          <w:tcPr>
            <w:tcW w:type="dxa" w:w="198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较短</w:t>
            </w:r>
          </w:p>
        </w:tc>
        <w:tc>
          <w:tcPr>
            <w:tcW w:type="dxa" w:w="272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省DSP；介于可插拔与CPO的过渡形态</w:t>
            </w:r>
          </w:p>
        </w:tc>
      </w:tr>
      <w:tr>
        <w:tc>
          <w:tcPr>
            <w:tcW w:type="dxa" w:w="198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**CPO（共封装光学）</w:t>
            </w:r>
          </w:p>
        </w:tc>
        <w:tc>
          <w:tcPr>
            <w:tcW w:type="dxa" w:w="238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与ASIC同一封装/基板</w:t>
            </w:r>
          </w:p>
        </w:tc>
        <w:tc>
          <w:tcPr>
            <w:tcW w:type="dxa" w:w="198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毫米级（OIF：&lt;50mm，损耗&lt;10dB）</w:t>
            </w:r>
          </w:p>
        </w:tc>
        <w:tc>
          <w:tcPr>
            <w:tcW w:type="dxa" w:w="272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功耗降最高70%；带宽密度最高；可靠性提升</w:t>
            </w:r>
          </w:p>
        </w:tc>
      </w:tr>
    </w:tbl>
    <w:p>
      <w:pPr>
        <w:spacing w:after="40"/>
      </w:pPr>
    </w:p>
    <w:p>
      <w:pPr>
        <w:spacing w:after="120" w:before="0" w:line="312" w:lineRule="auto"/>
        <w:ind w:firstLine="420"/>
      </w:pPr>
      <w:r>
        <w:rPr>
          <w:rFonts w:ascii="微软雅黑" w:hAnsi="微软雅黑" w:eastAsia="微软雅黑"/>
          <w:b w:val="0"/>
          <w:i w:val="0"/>
          <w:color w:val="1A1A1A"/>
          <w:sz w:val="21"/>
        </w:rPr>
        <w:t>CPO 是这条演进链的终点：它将光引擎（Optical Engine，含 PIC 光子集成电路与 EIC 电子集成电路）与交换 ASIC 共封装在同一基板/同一封装内，把电信号路径压缩到毫米级，从而省去高功耗 DSP、降低信号损耗、提升带宽密度，并将易失效的激光器外置以提升可靠性。</w:t>
      </w:r>
    </w:p>
    <w:p>
      <w:pPr>
        <w:keepNext/>
        <w:spacing w:before="200" w:after="80"/>
      </w:pPr>
      <w:r>
        <w:rPr>
          <w:rFonts w:ascii="微软雅黑" w:hAnsi="微软雅黑" w:eastAsia="微软雅黑"/>
          <w:b/>
          <w:color w:val="76B900"/>
          <w:sz w:val="25"/>
        </w:rPr>
        <w:t xml:space="preserve">2.3  </w:t>
      </w:r>
      <w:r>
        <w:rPr>
          <w:rFonts w:ascii="微软雅黑" w:hAnsi="微软雅黑" w:eastAsia="微软雅黑"/>
          <w:b/>
          <w:color w:val="1A1A1A"/>
          <w:sz w:val="25"/>
        </w:rPr>
        <w:t>CPO 架构与关键技术抉择</w:t>
      </w:r>
    </w:p>
    <w:p>
      <w:pPr>
        <w:spacing w:after="100" w:before="0" w:line="312" w:lineRule="auto"/>
        <w:ind w:firstLine="420"/>
      </w:pPr>
      <w:r>
        <w:rPr>
          <w:rFonts w:ascii="微软雅黑" w:hAnsi="微软雅黑" w:eastAsia="微软雅黑"/>
          <w:b w:val="0"/>
          <w:i w:val="0"/>
          <w:color w:val="1A1A1A"/>
          <w:sz w:val="21"/>
        </w:rPr>
        <w:t>CPO 并非单一技术，而是若干关键技术抉择的组合。不同玩家在不同抉择上的取舍，构成了第四章路线对比的技术基础。</w:t>
      </w:r>
    </w:p>
    <w:p>
      <w:pPr>
        <w:keepNext/>
        <w:spacing w:before="140" w:after="60"/>
      </w:pPr>
      <w:r>
        <w:rPr>
          <w:rFonts w:ascii="微软雅黑" w:hAnsi="微软雅黑" w:eastAsia="微软雅黑"/>
          <w:b/>
          <w:color w:val="0B5A8C"/>
          <w:sz w:val="22"/>
        </w:rPr>
        <w:t>◆ 抉择一：光源方案 — ILS vs ELS</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color w:val="1A1A1A"/>
          <w:sz w:val="21"/>
        </w:rPr>
        <w:t>内部光源（ILS）：激光器与光引擎同封装。优点是光路短、损耗低；缺点是激光器处于 ASIC 高热环境，可靠性下降，且失效需更换整个 ASIC/光引擎子组件，维护成本极高。</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行业主流：</w:t>
      </w:r>
      <w:r>
        <w:rPr>
          <w:rFonts w:ascii="微软雅黑" w:hAnsi="微软雅黑" w:eastAsia="微软雅黑"/>
          <w:color w:val="1A1A1A"/>
          <w:sz w:val="21"/>
        </w:rPr>
        <w:t>外部光源（ELS/ELSFP）：激光器置于前面板可插拔模块，通过保偏光纤将光送入共封装光引擎。优势是激光器远离热源、寿命与效率提升、可现场更换（MTBF 提升）；OIF 已发布 ELSFP 实施协议标准化该形态。</w:t>
      </w:r>
    </w:p>
    <w:p>
      <w:pPr>
        <w:spacing w:after="100" w:before="0" w:line="312" w:lineRule="auto"/>
        <w:ind w:firstLine="420"/>
      </w:pPr>
      <w:r>
        <w:rPr>
          <w:rFonts w:ascii="微软雅黑" w:hAnsi="微软雅黑" w:eastAsia="微软雅黑"/>
          <w:b w:val="0"/>
          <w:i w:val="0"/>
          <w:color w:val="1A1A1A"/>
          <w:sz w:val="21"/>
        </w:rPr>
        <w:t>英伟达投资 Lumentum 与 Coherent 两家“外部激光器”供应商，恰恰印证了 CPO 主流形态将采用“外部光源+内部硅光调制”的 ELS 架构。</w:t>
      </w:r>
    </w:p>
    <w:p>
      <w:pPr>
        <w:keepNext/>
        <w:spacing w:before="140" w:after="60"/>
      </w:pPr>
      <w:r>
        <w:rPr>
          <w:rFonts w:ascii="微软雅黑" w:hAnsi="微软雅黑" w:eastAsia="微软雅黑"/>
          <w:b/>
          <w:color w:val="0B5A8C"/>
          <w:sz w:val="22"/>
        </w:rPr>
        <w:t>◆ 抉择二：调制器路线 — MZM vs MRM</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984"/>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调制器</w:t>
            </w:r>
          </w:p>
        </w:tc>
        <w:tc>
          <w:tcPr>
            <w:tcW w:type="dxa" w:w="1814"/>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代表玩家</w:t>
            </w:r>
          </w:p>
        </w:tc>
        <w:tc>
          <w:tcPr>
            <w:tcW w:type="dxa" w:w="3118"/>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原理与特征</w:t>
            </w:r>
          </w:p>
        </w:tc>
        <w:tc>
          <w:tcPr>
            <w:tcW w:type="dxa" w:w="2268"/>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适用场景</w:t>
            </w:r>
          </w:p>
        </w:tc>
      </w:tr>
      <w:tr>
        <w:tc>
          <w:tcPr>
            <w:tcW w:type="dxa" w:w="198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**MZM（马赫-曾德）</w:t>
            </w:r>
          </w:p>
        </w:tc>
        <w:tc>
          <w:tcPr>
            <w:tcW w:type="dxa" w:w="181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博通 Broadcom</w:t>
            </w:r>
          </w:p>
        </w:tc>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干涉型，多波长，技术成熟、器件较大</w:t>
            </w:r>
          </w:p>
        </w:tc>
        <w:tc>
          <w:tcPr>
            <w:tcW w:type="dxa" w:w="226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高-radix、多波长 CWDM4/FR4</w:t>
            </w:r>
          </w:p>
        </w:tc>
      </w:tr>
      <w:tr>
        <w:tc>
          <w:tcPr>
            <w:tcW w:type="dxa" w:w="198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**MRM（微环调制器）</w:t>
            </w:r>
          </w:p>
        </w:tc>
        <w:tc>
          <w:tcPr>
            <w:tcW w:type="dxa" w:w="181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英伟达 NVIDIA</w:t>
            </w:r>
          </w:p>
        </w:tc>
        <w:tc>
          <w:tcPr>
            <w:tcW w:type="dxa" w:w="311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谐振型，驱动电压低、能效高、尺寸小，单波长</w:t>
            </w:r>
          </w:p>
        </w:tc>
        <w:tc>
          <w:tcPr>
            <w:tcW w:type="dxa" w:w="226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高密度、高能效 scale-out/scale-up</w:t>
            </w:r>
          </w:p>
        </w:tc>
      </w:tr>
    </w:tbl>
    <w:p>
      <w:pPr>
        <w:spacing w:after="40"/>
      </w:pPr>
    </w:p>
    <w:p>
      <w:pPr>
        <w:spacing w:after="120" w:before="0" w:line="312" w:lineRule="auto"/>
        <w:ind w:firstLine="420"/>
      </w:pPr>
      <w:r>
        <w:rPr>
          <w:rFonts w:ascii="微软雅黑" w:hAnsi="微软雅黑" w:eastAsia="微软雅黑"/>
          <w:b w:val="0"/>
          <w:i w:val="0"/>
          <w:color w:val="1A1A1A"/>
          <w:sz w:val="21"/>
        </w:rPr>
        <w:t>英伟达选择 MRM 是为在高-radix 应用中构建更大规模网络并降低整体成本；博通 MZM+多波长路线则在 FR4 电接口标准下成熟度更高。两者均已被 TSMC 硅光平台支持。</w:t>
      </w:r>
    </w:p>
    <w:p>
      <w:pPr>
        <w:keepNext/>
        <w:spacing w:before="140" w:after="60"/>
      </w:pPr>
      <w:r>
        <w:rPr>
          <w:rFonts w:ascii="微软雅黑" w:hAnsi="微软雅黑" w:eastAsia="微软雅黑"/>
          <w:b/>
          <w:color w:val="0B5A8C"/>
          <w:sz w:val="22"/>
        </w:rPr>
        <w:t>◆ 抉择三：异质集成与3D堆叠</w:t>
      </w:r>
    </w:p>
    <w:p>
      <w:pPr>
        <w:spacing w:after="120" w:before="0" w:line="312" w:lineRule="auto"/>
        <w:ind w:firstLine="420"/>
      </w:pPr>
      <w:r>
        <w:rPr>
          <w:rFonts w:ascii="微软雅黑" w:hAnsi="微软雅黑" w:eastAsia="微软雅黑"/>
          <w:b w:val="0"/>
          <w:i w:val="0"/>
          <w:color w:val="1A1A1A"/>
          <w:sz w:val="21"/>
        </w:rPr>
        <w:t>CPO 的带宽密度提升依赖 EIC 与 PIC 的高密度互连。Cu-Cu 混合键合（Hybrid Bonding）是实现3D垂直堆叠的关键工艺，可在微米级间距下实现极低寄生电容的光电互连。TSMC 是目前唯一能在合理规模上实现 die-to-wafer 混合键合的代工厂，其 COUPE（Compact Universal Photonic Engine）平台已成为事实标准。</w:t>
      </w:r>
    </w:p>
    <w:p>
      <w:pPr>
        <w:keepNext/>
        <w:spacing w:before="200" w:after="80"/>
      </w:pPr>
      <w:r>
        <w:rPr>
          <w:rFonts w:ascii="微软雅黑" w:hAnsi="微软雅黑" w:eastAsia="微软雅黑"/>
          <w:b/>
          <w:color w:val="76B900"/>
          <w:sz w:val="25"/>
        </w:rPr>
        <w:t xml:space="preserve">2.4  </w:t>
      </w:r>
      <w:r>
        <w:rPr>
          <w:rFonts w:ascii="微软雅黑" w:hAnsi="微软雅黑" w:eastAsia="微软雅黑"/>
          <w:b/>
          <w:color w:val="1A1A1A"/>
          <w:sz w:val="25"/>
        </w:rPr>
        <w:t>硅光子与 InP 的辩证：替代还是共生</w:t>
      </w:r>
    </w:p>
    <w:p>
      <w:pPr>
        <w:spacing w:after="80" w:before="0" w:line="312" w:lineRule="auto"/>
        <w:ind w:firstLine="420"/>
      </w:pPr>
      <w:r>
        <w:rPr>
          <w:rFonts w:ascii="微软雅黑" w:hAnsi="微软雅黑" w:eastAsia="微软雅黑"/>
          <w:b w:val="0"/>
          <w:i w:val="0"/>
          <w:color w:val="1A1A1A"/>
          <w:sz w:val="21"/>
        </w:rPr>
        <w:t>一种流行叙事认为“硅光将取代 InP”，但产业真相更为辩证：</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硅光价值：</w:t>
      </w:r>
      <w:r>
        <w:rPr>
          <w:rFonts w:ascii="微软雅黑" w:hAnsi="微软雅黑" w:eastAsia="微软雅黑"/>
          <w:color w:val="1A1A1A"/>
          <w:sz w:val="21"/>
        </w:rPr>
        <w:t>硅光（Silicon Photonics）将波导、调制器、探测器等光学元件做在硅基 CMOS 工艺上，可大规模集成、降低封装复杂度与成本。LightCounting 预测硅光渗透率将从2025年约30%升至2030年约60%。</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InP 不可替代：</w:t>
      </w:r>
      <w:r>
        <w:rPr>
          <w:rFonts w:ascii="微软雅黑" w:hAnsi="微软雅黑" w:eastAsia="微软雅黑"/>
          <w:color w:val="1A1A1A"/>
          <w:sz w:val="21"/>
        </w:rPr>
        <w:t>硅本身不能发光，硅光方案仍需 InP 激光器作为外置光源（CW 激光器）。CPO 时代采用 ELS 架构，恰恰把 InP 激光器从模块内部“外置”为独立可更换器件，反而强化了对高功率 InP CW 激光器的需求。</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共生而非替代：</w:t>
      </w:r>
      <w:r>
        <w:rPr>
          <w:rFonts w:ascii="微软雅黑" w:hAnsi="微软雅黑" w:eastAsia="微软雅黑"/>
          <w:color w:val="1A1A1A"/>
          <w:sz w:val="21"/>
        </w:rPr>
        <w:t>Tower Semiconductor 与英国 IQE 于2025年6月签署多年 InP 外延片供应协议，支撑200G/通道及下一代400G/通道调制器量产——揭示下一代高性能平台恰恰需要将 InP 组件集成进硅光架构。</w:t>
      </w:r>
    </w:p>
    <w:tbl>
      <w:tblPr>
        <w:tblW w:type="auto" w:w="0"/>
        <w:jc w:val="center"/>
        <w:tblLook w:firstColumn="1" w:firstRow="1" w:lastColumn="0" w:lastRow="0" w:noHBand="0" w:noVBand="1" w:val="04A0"/>
      </w:tblPr>
      <w:tblGrid>
        <w:gridCol w:w="9406"/>
      </w:tblGrid>
      <w:tr>
        <w:tc>
          <w:tcPr>
            <w:tcW w:type="dxa" w:w="9071"/>
            <w:shd w:val="clear" w:color="auto" w:fill="EEF3F8"/>
            <w:tcBorders>
              <w:left w:val="single" w:sz="24" w:color="0B5A8C"/>
              <w:top w:val="nil"/>
              <w:bottom w:val="nil"/>
              <w:right w:val="nil"/>
            </w:tcBorders>
          </w:tcPr>
          <w:p>
            <w:pPr>
              <w:spacing w:before="80" w:after="80" w:line="300" w:lineRule="auto"/>
            </w:pPr>
            <w:r>
              <w:rPr>
                <w:rFonts w:ascii="微软雅黑" w:hAnsi="微软雅黑" w:eastAsia="微软雅黑"/>
                <w:i/>
                <w:color w:val="333333"/>
                <w:sz w:val="21"/>
              </w:rPr>
              <w:t>硅光与 InP 的替代叙事过于线性，下一代高性能平台恰恰需要将 InP 组件集成进硅光架构。</w:t>
            </w:r>
          </w:p>
          <w:p>
            <w:pPr>
              <w:spacing w:after="40"/>
              <w:jc w:val="right"/>
            </w:pPr>
            <w:r>
              <w:rPr>
                <w:rFonts w:ascii="微软雅黑" w:hAnsi="微软雅黑" w:eastAsia="微软雅黑"/>
                <w:color w:val="555555"/>
                <w:sz w:val="18"/>
              </w:rPr>
              <w:t>— OFweek 光通讯网《光芯片突围战正式打响》</w:t>
            </w:r>
          </w:p>
        </w:tc>
      </w:tr>
    </w:tbl>
    <w:p>
      <w:pPr>
        <w:spacing w:after="40"/>
      </w:pPr>
    </w:p>
    <w:p>
      <w:pPr>
        <w:spacing w:after="120" w:before="0" w:line="312" w:lineRule="auto"/>
        <w:ind w:firstLine="420"/>
      </w:pPr>
      <w:r>
        <w:rPr>
          <w:rFonts w:ascii="微软雅黑" w:hAnsi="微软雅黑" w:eastAsia="微软雅黑"/>
          <w:b w:val="0"/>
          <w:i w:val="0"/>
          <w:color w:val="1A1A1A"/>
          <w:sz w:val="21"/>
        </w:rPr>
        <w:t>这正是英伟达40亿美元投向两家 InP 激光器龙头的底层逻辑：硅光越普及，对高质量 InP 外置光源的需求越刚性。</w:t>
      </w:r>
    </w:p>
    <w:p>
      <w:r>
        <w:br w:type="page"/>
      </w:r>
    </w:p>
    <w:p>
      <w:pPr>
        <w:keepNext/>
        <w:spacing w:before="320" w:after="160"/>
        <w:pBdr>
          <w:bottom w:val="single" w:sz="8" w:space="4" w:color="76B900"/>
        </w:pBdr>
      </w:pPr>
      <w:r>
        <w:rPr>
          <w:rFonts w:ascii="微软雅黑" w:hAnsi="微软雅黑" w:eastAsia="微软雅黑"/>
          <w:b/>
          <w:color w:val="76B900"/>
          <w:sz w:val="30"/>
        </w:rPr>
        <w:t xml:space="preserve">■ </w:t>
      </w:r>
      <w:r>
        <w:rPr>
          <w:rFonts w:ascii="微软雅黑" w:hAnsi="微软雅黑" w:eastAsia="微软雅黑"/>
          <w:b/>
          <w:color w:val="0B5A8C"/>
          <w:sz w:val="30"/>
        </w:rPr>
        <w:t xml:space="preserve">第三章  </w:t>
      </w:r>
      <w:r>
        <w:rPr>
          <w:rFonts w:ascii="微软雅黑" w:hAnsi="微软雅黑" w:eastAsia="微软雅黑"/>
          <w:b/>
          <w:color w:val="1A1A1A"/>
          <w:sz w:val="30"/>
        </w:rPr>
        <w:t>英伟达 CPO 战略与产品矩阵</w:t>
      </w:r>
    </w:p>
    <w:p>
      <w:pPr>
        <w:keepNext/>
        <w:spacing w:before="200" w:after="80"/>
      </w:pPr>
      <w:r>
        <w:rPr>
          <w:rFonts w:ascii="微软雅黑" w:hAnsi="微软雅黑" w:eastAsia="微软雅黑"/>
          <w:b/>
          <w:color w:val="76B900"/>
          <w:sz w:val="25"/>
        </w:rPr>
        <w:t xml:space="preserve">3.1  </w:t>
      </w:r>
      <w:r>
        <w:rPr>
          <w:rFonts w:ascii="微软雅黑" w:hAnsi="微软雅黑" w:eastAsia="微软雅黑"/>
          <w:b/>
          <w:color w:val="1A1A1A"/>
          <w:sz w:val="25"/>
        </w:rPr>
        <w:t>战略逻辑：从 CUDA 到光互连的垂直整合</w:t>
      </w:r>
    </w:p>
    <w:p>
      <w:pPr>
        <w:spacing w:after="100" w:before="0" w:line="312" w:lineRule="auto"/>
        <w:ind w:firstLine="420"/>
      </w:pPr>
      <w:r>
        <w:rPr>
          <w:rFonts w:ascii="微软雅黑" w:hAnsi="微软雅黑" w:eastAsia="微软雅黑"/>
          <w:b w:val="0"/>
          <w:i w:val="0"/>
          <w:color w:val="1A1A1A"/>
          <w:sz w:val="21"/>
        </w:rPr>
        <w:t>英伟达的战略底色始终是“系统级垂直整合”：GPU（算力）+ CUDA（软件生态）+ InfiniBand/NVLink（网络）+ Spectrum-X（以太网）。光互连是这一整合链条向物理层延伸的最后一环。</w:t>
      </w:r>
    </w:p>
    <w:p>
      <w:pPr>
        <w:spacing w:after="120" w:before="0" w:line="312" w:lineRule="auto"/>
        <w:ind w:firstLine="420"/>
      </w:pPr>
      <w:r>
        <w:rPr>
          <w:rFonts w:ascii="微软雅黑" w:hAnsi="微软雅黑" w:eastAsia="微软雅黑"/>
          <w:b w:val="0"/>
          <w:i w:val="0"/>
          <w:color w:val="1A1A1A"/>
          <w:sz w:val="21"/>
        </w:rPr>
        <w:t>在 GPU 之外，英伟达深刻认识到：决定未来 AI 算力带宽、能效与规模的，正是互连能力。通过40亿美元锁定 Lumentum 与 Coherent 的 InP 激光器产能，英伟达将 CPO 所需的关键光源器件“握在手中”，本质是延续其在 CUDA、InfiniBand、NVLink 上一以贯之的“建立生态护城河”打法——通过锁定技术、产能，系统性地掌控 AI 全栈基础设施的关键环节。</w:t>
      </w:r>
    </w:p>
    <w:p>
      <w:pPr>
        <w:keepNext/>
        <w:spacing w:before="200" w:after="80"/>
      </w:pPr>
      <w:r>
        <w:rPr>
          <w:rFonts w:ascii="微软雅黑" w:hAnsi="微软雅黑" w:eastAsia="微软雅黑"/>
          <w:b/>
          <w:color w:val="76B900"/>
          <w:sz w:val="25"/>
        </w:rPr>
        <w:t xml:space="preserve">3.2  </w:t>
      </w:r>
      <w:r>
        <w:rPr>
          <w:rFonts w:ascii="微软雅黑" w:hAnsi="微软雅黑" w:eastAsia="微软雅黑"/>
          <w:b/>
          <w:color w:val="1A1A1A"/>
          <w:sz w:val="25"/>
        </w:rPr>
        <w:t>产品矩阵：Quantum-X Photonics 与 Spectrum-X Photonics</w:t>
      </w:r>
    </w:p>
    <w:p>
      <w:pPr>
        <w:spacing w:after="100" w:before="0" w:line="312" w:lineRule="auto"/>
        <w:ind w:firstLine="420"/>
      </w:pPr>
      <w:r>
        <w:rPr>
          <w:rFonts w:ascii="微软雅黑" w:hAnsi="微软雅黑" w:eastAsia="微软雅黑"/>
          <w:b w:val="0"/>
          <w:i w:val="0"/>
          <w:color w:val="1A1A1A"/>
          <w:sz w:val="21"/>
        </w:rPr>
        <w:t>2025年3月GTC，黄仁勋发布全球首款1.6T CPO 交换机，宣告英伟达正式入局 CPO。产品矩阵分 InfiniBand 与以太网两条线：</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2381"/>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产品</w:t>
            </w:r>
          </w:p>
        </w:tc>
        <w:tc>
          <w:tcPr>
            <w:tcW w:type="dxa" w:w="1474"/>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协议</w:t>
            </w:r>
          </w:p>
        </w:tc>
        <w:tc>
          <w:tcPr>
            <w:tcW w:type="dxa" w:w="2381"/>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带宽/端口</w:t>
            </w:r>
          </w:p>
        </w:tc>
        <w:tc>
          <w:tcPr>
            <w:tcW w:type="dxa" w:w="1814"/>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可用时间</w:t>
            </w:r>
          </w:p>
        </w:tc>
        <w:tc>
          <w:tcPr>
            <w:tcW w:type="dxa" w:w="2268"/>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定位</w:t>
            </w:r>
          </w:p>
        </w:tc>
      </w:tr>
      <w:tr>
        <w:tc>
          <w:tcPr>
            <w:tcW w:type="dxa" w:w="238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**Quantum-X Photonics Q3450</w:t>
            </w:r>
          </w:p>
        </w:tc>
        <w:tc>
          <w:tcPr>
            <w:tcW w:type="dxa" w:w="147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InfiniBand</w:t>
            </w:r>
          </w:p>
        </w:tc>
        <w:tc>
          <w:tcPr>
            <w:tcW w:type="dxa" w:w="238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144×800G，115Tb/s聚合</w:t>
            </w:r>
          </w:p>
        </w:tc>
        <w:tc>
          <w:tcPr>
            <w:tcW w:type="dxa" w:w="181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2025H2（后报道2026初商用）</w:t>
            </w:r>
          </w:p>
        </w:tc>
        <w:tc>
          <w:tcPr>
            <w:tcW w:type="dxa" w:w="226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Scale-out，高-radix AI 计算fabric</w:t>
            </w:r>
          </w:p>
        </w:tc>
      </w:tr>
      <w:tr>
        <w:tc>
          <w:tcPr>
            <w:tcW w:type="dxa" w:w="238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**Spectrum-X Photonics SN6810</w:t>
            </w:r>
          </w:p>
        </w:tc>
        <w:tc>
          <w:tcPr>
            <w:tcW w:type="dxa" w:w="147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以太网</w:t>
            </w:r>
          </w:p>
        </w:tc>
        <w:tc>
          <w:tcPr>
            <w:tcW w:type="dxa" w:w="238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单ASIC，128×800G，102.4Tb/s</w:t>
            </w:r>
          </w:p>
        </w:tc>
        <w:tc>
          <w:tcPr>
            <w:tcW w:type="dxa" w:w="181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2026H2</w:t>
            </w:r>
          </w:p>
        </w:tc>
        <w:tc>
          <w:tcPr>
            <w:tcW w:type="dxa" w:w="226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Scale-out，以太网AI集群</w:t>
            </w:r>
          </w:p>
        </w:tc>
      </w:tr>
      <w:tr>
        <w:tc>
          <w:tcPr>
            <w:tcW w:type="dxa" w:w="238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**Spectrum-X Photonics SN6800</w:t>
            </w:r>
          </w:p>
        </w:tc>
        <w:tc>
          <w:tcPr>
            <w:tcW w:type="dxa" w:w="147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以太网</w:t>
            </w:r>
          </w:p>
        </w:tc>
        <w:tc>
          <w:tcPr>
            <w:tcW w:type="dxa" w:w="238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四ASIC，512×800G，409.6Tb/s</w:t>
            </w:r>
          </w:p>
        </w:tc>
        <w:tc>
          <w:tcPr>
            <w:tcW w:type="dxa" w:w="181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2026H2</w:t>
            </w:r>
          </w:p>
        </w:tc>
        <w:tc>
          <w:tcPr>
            <w:tcW w:type="dxa" w:w="226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超大规模以太网，含光纤shuffle</w:t>
            </w:r>
          </w:p>
        </w:tc>
      </w:tr>
    </w:tbl>
    <w:p>
      <w:pPr>
        <w:spacing w:after="40"/>
      </w:pP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封装解构：</w:t>
      </w:r>
      <w:r>
        <w:rPr>
          <w:rFonts w:ascii="微软雅黑" w:hAnsi="微软雅黑" w:eastAsia="微软雅黑"/>
          <w:color w:val="1A1A1A"/>
          <w:sz w:val="21"/>
        </w:rPr>
        <w:t>Quantum-X 包含6个可拆卸光子组件（OSA），每个含3个硅光引擎，共18个硅光引擎、324个光连接、288条数据链路、36路激光输入。</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SerDes：</w:t>
      </w:r>
      <w:r>
        <w:rPr>
          <w:rFonts w:ascii="微软雅黑" w:hAnsi="微软雅黑" w:eastAsia="微软雅黑"/>
          <w:color w:val="1A1A1A"/>
          <w:sz w:val="21"/>
        </w:rPr>
        <w:t>基于200G SerDes，Quantum-X ASIC 有72 lane SerDes，Spectrum-X 多芯片设计有144 lane SerDes。</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热管理与卸载：</w:t>
      </w:r>
      <w:r>
        <w:rPr>
          <w:rFonts w:ascii="微软雅黑" w:hAnsi="微软雅黑" w:eastAsia="微软雅黑"/>
          <w:color w:val="1A1A1A"/>
          <w:sz w:val="21"/>
        </w:rPr>
        <w:t>Quantum-X 采用液冷设计高效冷却片上硅光子；SHARP FP8 技术允许 CPU/GPU 将部分任务卸载至网络芯片。</w:t>
      </w:r>
    </w:p>
    <w:p>
      <w:pPr>
        <w:keepNext/>
        <w:spacing w:before="200" w:after="80"/>
      </w:pPr>
      <w:r>
        <w:rPr>
          <w:rFonts w:ascii="微软雅黑" w:hAnsi="微软雅黑" w:eastAsia="微软雅黑"/>
          <w:b/>
          <w:color w:val="76B900"/>
          <w:sz w:val="25"/>
        </w:rPr>
        <w:t xml:space="preserve">3.3  </w:t>
      </w:r>
      <w:r>
        <w:rPr>
          <w:rFonts w:ascii="微软雅黑" w:hAnsi="微软雅黑" w:eastAsia="微软雅黑"/>
          <w:b/>
          <w:color w:val="1A1A1A"/>
          <w:sz w:val="25"/>
        </w:rPr>
        <w:t>技术解构：COUPE + MRM + 可拆卸 OSA</w:t>
      </w:r>
    </w:p>
    <w:p>
      <w:pPr>
        <w:spacing w:after="100" w:before="0" w:line="312" w:lineRule="auto"/>
        <w:ind w:firstLine="420"/>
      </w:pPr>
      <w:r>
        <w:rPr>
          <w:rFonts w:ascii="微软雅黑" w:hAnsi="微软雅黑" w:eastAsia="微软雅黑"/>
          <w:b w:val="0"/>
          <w:i w:val="0"/>
          <w:color w:val="1A1A1A"/>
          <w:sz w:val="21"/>
        </w:rPr>
        <w:t>英伟达 CPO 的技术组合具有鲜明差异化，三大支柱构成其技术护城河：</w:t>
      </w:r>
    </w:p>
    <w:p>
      <w:pPr>
        <w:keepNext/>
        <w:spacing w:before="140" w:after="60"/>
      </w:pPr>
      <w:r>
        <w:rPr>
          <w:rFonts w:ascii="微软雅黑" w:hAnsi="微软雅黑" w:eastAsia="微软雅黑"/>
          <w:b/>
          <w:color w:val="0B5A8C"/>
          <w:sz w:val="22"/>
        </w:rPr>
        <w:t>◆ 支柱一：TSMC COUPE 3D堆叠</w:t>
      </w:r>
    </w:p>
    <w:p>
      <w:pPr>
        <w:spacing w:after="100" w:before="0" w:line="312" w:lineRule="auto"/>
        <w:ind w:firstLine="420"/>
      </w:pPr>
      <w:r>
        <w:rPr>
          <w:rFonts w:ascii="微软雅黑" w:hAnsi="微软雅黑" w:eastAsia="微软雅黑"/>
          <w:b w:val="0"/>
          <w:i w:val="0"/>
          <w:color w:val="1A1A1A"/>
          <w:sz w:val="21"/>
        </w:rPr>
        <w:t>COUPE（Compact Universal Photonic Engine）是 TSMC 的硅光工艺平台，将6nm EIC（220亿晶体管）与65nm PIC（约1000个光子器件）通过 SoIC-X 混合键合实现3D垂直堆叠，微透镜实现光纤表面耦合。TSMC COUPE 路线分三阶段：1.6T可插拔 → 6.4T光引擎（基板上，2026）→ 12.8T光引擎（interposer上，探索中），目标实现5×能效与20×低时延（对比可插拔）。</w:t>
      </w:r>
    </w:p>
    <w:p>
      <w:pPr>
        <w:keepNext/>
        <w:spacing w:before="140" w:after="60"/>
      </w:pPr>
      <w:r>
        <w:rPr>
          <w:rFonts w:ascii="微软雅黑" w:hAnsi="微软雅黑" w:eastAsia="微软雅黑"/>
          <w:b/>
          <w:color w:val="0B5A8C"/>
          <w:sz w:val="22"/>
        </w:rPr>
        <w:t>◆ 支柱二：MRM 微环调制器</w:t>
      </w:r>
    </w:p>
    <w:p>
      <w:pPr>
        <w:spacing w:after="100" w:before="0" w:line="312" w:lineRule="auto"/>
        <w:ind w:firstLine="420"/>
      </w:pPr>
      <w:r>
        <w:rPr>
          <w:rFonts w:ascii="微软雅黑" w:hAnsi="微软雅黑" w:eastAsia="微软雅黑"/>
          <w:b w:val="0"/>
          <w:i w:val="0"/>
          <w:color w:val="1A1A1A"/>
          <w:sz w:val="21"/>
        </w:rPr>
        <w:t>英伟达采用 MRM 而非传统 MZM，驱动电压更低、能效更高、尺寸更小，适配高-radix 大规模网络与成本优化。LightCounting 评价此举为“冒技术风险以换取 scale-up 所需的能效与带宽密度突破”。</w:t>
      </w:r>
    </w:p>
    <w:p>
      <w:pPr>
        <w:keepNext/>
        <w:spacing w:before="140" w:after="60"/>
      </w:pPr>
      <w:r>
        <w:rPr>
          <w:rFonts w:ascii="微软雅黑" w:hAnsi="微软雅黑" w:eastAsia="微软雅黑"/>
          <w:b/>
          <w:color w:val="0B5A8C"/>
          <w:sz w:val="22"/>
        </w:rPr>
        <w:t>◆ 支柱三：可拆卸 OSA（光子组件）</w:t>
      </w:r>
    </w:p>
    <w:p>
      <w:pPr>
        <w:spacing w:after="120" w:before="0" w:line="312" w:lineRule="auto"/>
        <w:ind w:firstLine="420"/>
      </w:pPr>
      <w:r>
        <w:rPr>
          <w:rFonts w:ascii="微软雅黑" w:hAnsi="微软雅黑" w:eastAsia="微软雅黑"/>
          <w:b w:val="0"/>
          <w:i w:val="0"/>
          <w:color w:val="1A1A1A"/>
          <w:sz w:val="21"/>
        </w:rPr>
        <w:t>英伟达将光引擎分组为可现场更换的 OSA（光学子组件），每个4.8Tb/s，可在不扰动交换 ASIC 的情况下更换光引擎——这是对运维方对 CPO“不可维护”顾虑的直接回应，也是其相对博通“环氧粘接固定光引擎”方案的服务性优势。</w:t>
      </w:r>
    </w:p>
    <w:tbl>
      <w:tblPr>
        <w:tblW w:type="auto" w:w="0"/>
        <w:jc w:val="center"/>
        <w:tblLook w:firstColumn="1" w:firstRow="1" w:lastColumn="0" w:lastRow="0" w:noHBand="0" w:noVBand="1" w:val="04A0"/>
      </w:tblPr>
      <w:tblGrid>
        <w:gridCol w:w="9406"/>
      </w:tblGrid>
      <w:tr>
        <w:tc>
          <w:tcPr>
            <w:tcW w:type="dxa" w:w="9071"/>
            <w:shd w:val="clear" w:color="auto" w:fill="FFF4E6"/>
            <w:tcBorders>
              <w:left w:val="single" w:sz="24" w:color="C05A1C"/>
              <w:top w:val="nil"/>
              <w:bottom w:val="nil"/>
              <w:right w:val="nil"/>
            </w:tcBorders>
          </w:tcPr>
          <w:p>
            <w:pPr>
              <w:spacing w:before="60" w:after="60"/>
            </w:pPr>
            <w:r>
              <w:rPr>
                <w:rFonts w:ascii="微软雅黑" w:hAnsi="微软雅黑" w:eastAsia="微软雅黑"/>
                <w:b/>
                <w:color w:val="C05A1C"/>
                <w:sz w:val="20"/>
              </w:rPr>
              <w:t xml:space="preserve">▼ 关键数据  </w:t>
            </w:r>
            <w:r>
              <w:rPr>
                <w:rFonts w:ascii="微软雅黑" w:hAnsi="微软雅黑" w:eastAsia="微软雅黑"/>
                <w:b/>
                <w:color w:val="1A1A1A"/>
                <w:sz w:val="20"/>
              </w:rPr>
              <w:t xml:space="preserve">英伟达 CPO 性能宣称  </w:t>
            </w:r>
            <w:r>
              <w:rPr>
                <w:rFonts w:ascii="微软雅黑" w:hAnsi="微软雅黑" w:eastAsia="微软雅黑"/>
                <w:b/>
                <w:color w:val="C05A1C"/>
                <w:sz w:val="21"/>
              </w:rPr>
              <w:t>3.5×能效 / 10×可靠性 / 1.3×部署速度 （对比传统可插拔架构）</w:t>
            </w:r>
          </w:p>
        </w:tc>
      </w:tr>
    </w:tbl>
    <w:p>
      <w:pPr>
        <w:spacing w:after="40"/>
      </w:pPr>
    </w:p>
    <w:p>
      <w:pPr>
        <w:keepNext/>
        <w:spacing w:before="200" w:after="80"/>
      </w:pPr>
      <w:r>
        <w:rPr>
          <w:rFonts w:ascii="微软雅黑" w:hAnsi="微软雅黑" w:eastAsia="微软雅黑"/>
          <w:b/>
          <w:color w:val="76B900"/>
          <w:sz w:val="25"/>
        </w:rPr>
        <w:t xml:space="preserve">3.4  </w:t>
      </w:r>
      <w:r>
        <w:rPr>
          <w:rFonts w:ascii="微软雅黑" w:hAnsi="微软雅黑" w:eastAsia="微软雅黑"/>
          <w:b/>
          <w:color w:val="1A1A1A"/>
          <w:sz w:val="25"/>
        </w:rPr>
        <w:t>Scale-out 先行，Scale-up 后行</w:t>
      </w:r>
    </w:p>
    <w:p>
      <w:pPr>
        <w:spacing w:after="100" w:before="0" w:line="312" w:lineRule="auto"/>
        <w:ind w:firstLine="420"/>
      </w:pPr>
      <w:r>
        <w:rPr>
          <w:rFonts w:ascii="微软雅黑" w:hAnsi="微软雅黑" w:eastAsia="微软雅黑"/>
          <w:b w:val="0"/>
          <w:i w:val="0"/>
          <w:color w:val="1A1A1A"/>
          <w:sz w:val="21"/>
        </w:rPr>
        <w:t>英伟达 CPO 部署遵循“先 Scale-out（柜外/集群互联），后 Scale-up（柜内/GPU 间）”的节奏：</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近期：</w:t>
      </w:r>
      <w:r>
        <w:rPr>
          <w:rFonts w:ascii="微软雅黑" w:hAnsi="微软雅黑" w:eastAsia="微软雅黑"/>
          <w:color w:val="1A1A1A"/>
          <w:sz w:val="21"/>
        </w:rPr>
        <w:t>Scale-out：Quantum-X（IB）与 Spectrum-X（以太网）CPO 交换机面向集群间互联，2026年规模部署。</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远期：</w:t>
      </w:r>
      <w:r>
        <w:rPr>
          <w:rFonts w:ascii="微软雅黑" w:hAnsi="微软雅黑" w:eastAsia="微软雅黑"/>
          <w:color w:val="1A1A1A"/>
          <w:sz w:val="21"/>
        </w:rPr>
        <w:t>Scale-up：当前 Blackwell NVL72 用铜背板，Vera Rubin NVL144（2026H2）延续铜方案；Rubin Ultra NVL576 引入 Kyber 机架；NVLink 光互连预计在 Feynman 代际（约2028）引入，届时 CPO 进入 GPU 包内。</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战略意图：</w:t>
      </w:r>
      <w:r>
        <w:rPr>
          <w:rFonts w:ascii="微软雅黑" w:hAnsi="微软雅黑" w:eastAsia="微软雅黑"/>
          <w:color w:val="1A1A1A"/>
          <w:sz w:val="21"/>
        </w:rPr>
        <w:t>Lumentum CEO Michael Hurlston 明确：CPO 真正的增量在 Scale-up，即用光互连替代机架内部铜背板——不会一蹴而就，但长期空间巨大，这也是英伟达急于锁定供应链的原因。</w:t>
      </w:r>
    </w:p>
    <w:tbl>
      <w:tblPr>
        <w:tblW w:type="auto" w:w="0"/>
        <w:jc w:val="center"/>
        <w:tblLook w:firstColumn="1" w:firstRow="1" w:lastColumn="0" w:lastRow="0" w:noHBand="0" w:noVBand="1" w:val="04A0"/>
      </w:tblPr>
      <w:tblGrid>
        <w:gridCol w:w="9406"/>
      </w:tblGrid>
      <w:tr>
        <w:tc>
          <w:tcPr>
            <w:tcW w:type="dxa" w:w="9071"/>
            <w:shd w:val="clear" w:color="auto" w:fill="EEF3F8"/>
            <w:tcBorders>
              <w:left w:val="single" w:sz="24" w:color="0B5A8C"/>
              <w:top w:val="nil"/>
              <w:bottom w:val="nil"/>
              <w:right w:val="nil"/>
            </w:tcBorders>
          </w:tcPr>
          <w:p>
            <w:pPr>
              <w:spacing w:before="80" w:after="80" w:line="300" w:lineRule="auto"/>
            </w:pPr>
            <w:r>
              <w:rPr>
                <w:rFonts w:ascii="微软雅黑" w:hAnsi="微软雅黑" w:eastAsia="微软雅黑"/>
                <w:i/>
                <w:color w:val="333333"/>
                <w:sz w:val="21"/>
              </w:rPr>
              <w:t>CPO once普及，将替代部分可插拔光模块市场，尤其是 Scale-Out 场景；但 CPO 真正的增量在于 Scale-up，即用光互连替代机架内部的铜背板——这不会一蹴而就，但长期空间巨大，也是英伟达急于锁定供应链的原因。</w:t>
            </w:r>
          </w:p>
          <w:p>
            <w:pPr>
              <w:spacing w:after="40"/>
              <w:jc w:val="right"/>
            </w:pPr>
            <w:r>
              <w:rPr>
                <w:rFonts w:ascii="微软雅黑" w:hAnsi="微软雅黑" w:eastAsia="微软雅黑"/>
                <w:color w:val="555555"/>
                <w:sz w:val="18"/>
              </w:rPr>
              <w:t>— Michael Hurlston，Lumentum CEO</w:t>
            </w:r>
          </w:p>
        </w:tc>
      </w:tr>
    </w:tbl>
    <w:p>
      <w:pPr>
        <w:spacing w:after="40"/>
      </w:pPr>
    </w:p>
    <w:p>
      <w:pPr>
        <w:keepNext/>
        <w:spacing w:before="200" w:after="80"/>
      </w:pPr>
      <w:r>
        <w:rPr>
          <w:rFonts w:ascii="微软雅黑" w:hAnsi="微软雅黑" w:eastAsia="微软雅黑"/>
          <w:b/>
          <w:color w:val="76B900"/>
          <w:sz w:val="25"/>
        </w:rPr>
        <w:t xml:space="preserve">3.5  </w:t>
      </w:r>
      <w:r>
        <w:rPr>
          <w:rFonts w:ascii="微软雅黑" w:hAnsi="微软雅黑" w:eastAsia="微软雅黑"/>
          <w:b/>
          <w:color w:val="1A1A1A"/>
          <w:sz w:val="25"/>
        </w:rPr>
        <w:t>投资 Lumentum/Coherent 的战略闭环</w:t>
      </w:r>
    </w:p>
    <w:p>
      <w:pPr>
        <w:spacing w:after="80" w:before="0" w:line="312" w:lineRule="auto"/>
        <w:ind w:firstLine="420"/>
      </w:pPr>
      <w:r>
        <w:rPr>
          <w:rFonts w:ascii="微软雅黑" w:hAnsi="微软雅黑" w:eastAsia="微软雅黑"/>
          <w:b w:val="0"/>
          <w:i w:val="0"/>
          <w:color w:val="1A1A1A"/>
          <w:sz w:val="21"/>
        </w:rPr>
        <w:t>将第三章各节串起来，英伟达40亿美元投资的战略闭环清晰可见：</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需求侧：</w:t>
      </w:r>
      <w:r>
        <w:rPr>
          <w:rFonts w:ascii="微软雅黑" w:hAnsi="微软雅黑" w:eastAsia="微软雅黑"/>
          <w:color w:val="1A1A1A"/>
          <w:sz w:val="21"/>
        </w:rPr>
        <w:t>英伟达 CPO 交换机已选定 ELS（外部光源）+ MRM + COUPE 路线，对高功率 InP CW 激光器形成刚性且排他性弱（双供）的需求；</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供给侧：</w:t>
      </w:r>
      <w:r>
        <w:rPr>
          <w:rFonts w:ascii="微软雅黑" w:hAnsi="微软雅黑" w:eastAsia="微软雅黑"/>
          <w:color w:val="1A1A1A"/>
          <w:sz w:val="21"/>
        </w:rPr>
        <w:t>InP 产能短缺持续至2027，Lumentum 与 Coherent 是全球少数可规模化供应的厂商，且均已签 LTA 长协优先保障其他客户；</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闭环：</w:t>
      </w:r>
      <w:r>
        <w:rPr>
          <w:rFonts w:ascii="微软雅黑" w:hAnsi="微软雅黑" w:eastAsia="微软雅黑"/>
          <w:color w:val="1A1A1A"/>
          <w:sz w:val="21"/>
        </w:rPr>
        <w:t>通过“投资换股权+长单锁产能”，英伟达提前为2027H2起的 Scale-out CPO 放量与更远的 Scale-up CPO“备料”，并推动 CPO 标准路线向自身靠拢；</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远景：</w:t>
      </w:r>
      <w:r>
        <w:rPr>
          <w:rFonts w:ascii="微软雅黑" w:hAnsi="微软雅黑" w:eastAsia="微软雅黑"/>
          <w:color w:val="1A1A1A"/>
          <w:sz w:val="21"/>
        </w:rPr>
        <w:t>黄仁勋称将打造“吉瓦级（Gigawatt-scale）AI 工厂”——这一定语揭示了 CPO 的终极目标：支撑十万卡乃至百万卡级 GPU 集群的全光互联。</w:t>
      </w:r>
    </w:p>
    <w:p>
      <w:r>
        <w:br w:type="page"/>
      </w:r>
    </w:p>
    <w:p>
      <w:pPr>
        <w:keepNext/>
        <w:spacing w:before="320" w:after="160"/>
        <w:pBdr>
          <w:bottom w:val="single" w:sz="8" w:space="4" w:color="76B900"/>
        </w:pBdr>
      </w:pPr>
      <w:r>
        <w:rPr>
          <w:rFonts w:ascii="微软雅黑" w:hAnsi="微软雅黑" w:eastAsia="微软雅黑"/>
          <w:b/>
          <w:color w:val="76B900"/>
          <w:sz w:val="30"/>
        </w:rPr>
        <w:t xml:space="preserve">■ </w:t>
      </w:r>
      <w:r>
        <w:rPr>
          <w:rFonts w:ascii="微软雅黑" w:hAnsi="微软雅黑" w:eastAsia="微软雅黑"/>
          <w:b/>
          <w:color w:val="0B5A8C"/>
          <w:sz w:val="30"/>
        </w:rPr>
        <w:t xml:space="preserve">第四章  </w:t>
      </w:r>
      <w:r>
        <w:rPr>
          <w:rFonts w:ascii="微软雅黑" w:hAnsi="微软雅黑" w:eastAsia="微软雅黑"/>
          <w:b/>
          <w:color w:val="1A1A1A"/>
          <w:sz w:val="30"/>
        </w:rPr>
        <w:t>头部玩家 CPO 路线对比</w:t>
      </w:r>
    </w:p>
    <w:p>
      <w:pPr>
        <w:spacing w:after="120" w:before="0" w:line="312" w:lineRule="auto"/>
        <w:ind w:firstLine="420"/>
      </w:pPr>
      <w:r>
        <w:rPr>
          <w:rFonts w:ascii="微软雅黑" w:hAnsi="微软雅黑" w:eastAsia="微软雅黑"/>
          <w:b w:val="0"/>
          <w:i w:val="0"/>
          <w:color w:val="1A1A1A"/>
          <w:sz w:val="21"/>
        </w:rPr>
        <w:t>CPO 不是单一赛道，而是不同玩家基于自身生态位做出的差异化选择。本章按“系统厂商—代工厂”两层对比头部玩家的路线分野。</w:t>
      </w:r>
    </w:p>
    <w:p>
      <w:pPr>
        <w:keepNext/>
        <w:spacing w:before="200" w:after="80"/>
      </w:pPr>
      <w:r>
        <w:rPr>
          <w:rFonts w:ascii="微软雅黑" w:hAnsi="微软雅黑" w:eastAsia="微软雅黑"/>
          <w:b/>
          <w:color w:val="76B900"/>
          <w:sz w:val="25"/>
        </w:rPr>
        <w:t xml:space="preserve">4.1  </w:t>
      </w:r>
      <w:r>
        <w:rPr>
          <w:rFonts w:ascii="微软雅黑" w:hAnsi="微软雅黑" w:eastAsia="微软雅黑"/>
          <w:b/>
          <w:color w:val="1A1A1A"/>
          <w:sz w:val="25"/>
        </w:rPr>
        <w:t>英伟达 vs 博通：系统整合 vs 模块方案</w:t>
      </w:r>
    </w:p>
    <w:p>
      <w:pPr>
        <w:spacing w:after="100" w:before="0" w:line="312" w:lineRule="auto"/>
        <w:ind w:firstLine="420"/>
      </w:pPr>
      <w:r>
        <w:rPr>
          <w:rFonts w:ascii="微软雅黑" w:hAnsi="微软雅黑" w:eastAsia="微软雅黑"/>
          <w:b w:val="0"/>
          <w:i w:val="0"/>
          <w:color w:val="1A1A1A"/>
          <w:sz w:val="21"/>
        </w:rPr>
        <w:t>英伟达与博通是 CPO 交换机 ASIC 领域的两极，二者在战略姿态、技术组合与客户模式上全面对照：</w:t>
      </w:r>
    </w:p>
    <w:tbl>
      <w:tblPr>
        <w:tblW w:type="auto" w:w="0"/>
        <w:jc w:val="center"/>
        <w:tblLayout w:type="fixed"/>
        <w:tblLook w:firstColumn="1" w:firstRow="1" w:lastColumn="0" w:lastRow="0" w:noHBand="0" w:noVBand="1" w:val="04A0"/>
      </w:tblPr>
      <w:tblGrid>
        <w:gridCol w:w="3135"/>
        <w:gridCol w:w="3135"/>
        <w:gridCol w:w="3135"/>
      </w:tblGrid>
      <w:tr>
        <w:tc>
          <w:tcPr>
            <w:tcW w:type="dxa" w:w="1701"/>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维度</w:t>
            </w:r>
          </w:p>
        </w:tc>
        <w:tc>
          <w:tcPr>
            <w:tcW w:type="dxa" w:w="3685"/>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英伟达 NVIDIA</w:t>
            </w:r>
          </w:p>
        </w:tc>
        <w:tc>
          <w:tcPr>
            <w:tcW w:type="dxa" w:w="3685"/>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博通 Broadcom</w:t>
            </w:r>
          </w:p>
        </w:tc>
      </w:tr>
      <w:tr>
        <w:tc>
          <w:tcPr>
            <w:tcW w:type="dxa" w:w="170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**战略姿态</w:t>
            </w:r>
          </w:p>
        </w:tc>
        <w:tc>
          <w:tcPr>
            <w:tcW w:type="dxa" w:w="368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系统级垂直整合（GPU+网络+软件）</w:t>
            </w:r>
          </w:p>
        </w:tc>
        <w:tc>
          <w:tcPr>
            <w:tcW w:type="dxa" w:w="368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模块化方案供应，面向超大规模客户定制ASIC</w:t>
            </w:r>
          </w:p>
        </w:tc>
      </w:tr>
      <w:tr>
        <w:tc>
          <w:tcPr>
            <w:tcW w:type="dxa" w:w="170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**CPO商用史</w:t>
            </w:r>
          </w:p>
        </w:tc>
        <w:tc>
          <w:tcPr>
            <w:tcW w:type="dxa" w:w="368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2025GTC首发，2026规模部署</w:t>
            </w:r>
          </w:p>
        </w:tc>
        <w:tc>
          <w:tcPr>
            <w:tcW w:type="dxa" w:w="368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最早商用，已出货Tomahawk 4/5 CPO版本</w:t>
            </w:r>
          </w:p>
        </w:tc>
      </w:tr>
      <w:tr>
        <w:tc>
          <w:tcPr>
            <w:tcW w:type="dxa" w:w="170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**调制器</w:t>
            </w:r>
          </w:p>
        </w:tc>
        <w:tc>
          <w:tcPr>
            <w:tcW w:type="dxa" w:w="368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MRM（微环），单波长</w:t>
            </w:r>
          </w:p>
        </w:tc>
        <w:tc>
          <w:tcPr>
            <w:tcW w:type="dxa" w:w="368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MZM（马赫-曾德），多波长FR4</w:t>
            </w:r>
          </w:p>
        </w:tc>
      </w:tr>
      <w:tr>
        <w:tc>
          <w:tcPr>
            <w:tcW w:type="dxa" w:w="170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**封装工艺</w:t>
            </w:r>
          </w:p>
        </w:tc>
        <w:tc>
          <w:tcPr>
            <w:tcW w:type="dxa" w:w="368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TSMC COUPE 3D堆叠（转向）</w:t>
            </w:r>
          </w:p>
        </w:tc>
        <w:tc>
          <w:tcPr>
            <w:tcW w:type="dxa" w:w="368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早期FOWLP（SPIL），正转向COUPE</w:t>
            </w:r>
          </w:p>
        </w:tc>
      </w:tr>
      <w:tr>
        <w:tc>
          <w:tcPr>
            <w:tcW w:type="dxa" w:w="170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**光纤耦合</w:t>
            </w:r>
          </w:p>
        </w:tc>
        <w:tc>
          <w:tcPr>
            <w:tcW w:type="dxa" w:w="368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微透镜表面耦合</w:t>
            </w:r>
          </w:p>
        </w:tc>
        <w:tc>
          <w:tcPr>
            <w:tcW w:type="dxa" w:w="368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环氧粘接边缘耦合</w:t>
            </w:r>
          </w:p>
        </w:tc>
      </w:tr>
      <w:tr>
        <w:tc>
          <w:tcPr>
            <w:tcW w:type="dxa" w:w="170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**光引擎带宽</w:t>
            </w:r>
          </w:p>
        </w:tc>
        <w:tc>
          <w:tcPr>
            <w:tcW w:type="dxa" w:w="368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1.6T（OSA 4.8T）</w:t>
            </w:r>
          </w:p>
        </w:tc>
        <w:tc>
          <w:tcPr>
            <w:tcW w:type="dxa" w:w="368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6.4T（Bailly）</w:t>
            </w:r>
          </w:p>
        </w:tc>
      </w:tr>
      <w:tr>
        <w:tc>
          <w:tcPr>
            <w:tcW w:type="dxa" w:w="170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**旗舰产品</w:t>
            </w:r>
          </w:p>
        </w:tc>
        <w:tc>
          <w:tcPr>
            <w:tcW w:type="dxa" w:w="368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Quantum-X/Spectrum-X Photonics</w:t>
            </w:r>
          </w:p>
        </w:tc>
        <w:tc>
          <w:tcPr>
            <w:tcW w:type="dxa" w:w="368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TH6-Davisson（102.4Tb/s）</w:t>
            </w:r>
          </w:p>
        </w:tc>
      </w:tr>
      <w:tr>
        <w:tc>
          <w:tcPr>
            <w:tcW w:type="dxa" w:w="170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**服务性</w:t>
            </w:r>
          </w:p>
        </w:tc>
        <w:tc>
          <w:tcPr>
            <w:tcW w:type="dxa" w:w="368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可拆卸OSA，现场更换</w:t>
            </w:r>
          </w:p>
        </w:tc>
        <w:tc>
          <w:tcPr>
            <w:tcW w:type="dxa" w:w="368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固定光引擎，需整体更换</w:t>
            </w:r>
          </w:p>
        </w:tc>
      </w:tr>
      <w:tr>
        <w:tc>
          <w:tcPr>
            <w:tcW w:type="dxa" w:w="170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**能效宣称</w:t>
            </w:r>
          </w:p>
        </w:tc>
        <w:tc>
          <w:tcPr>
            <w:tcW w:type="dxa" w:w="368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3.5×（vs可插拔）</w:t>
            </w:r>
          </w:p>
        </w:tc>
        <w:tc>
          <w:tcPr>
            <w:tcW w:type="dxa" w:w="368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70%光互连功耗降低</w:t>
            </w:r>
          </w:p>
        </w:tc>
      </w:tr>
      <w:tr>
        <w:tc>
          <w:tcPr>
            <w:tcW w:type="dxa" w:w="170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**Scale-up思路</w:t>
            </w:r>
          </w:p>
        </w:tc>
        <w:tc>
          <w:tcPr>
            <w:tcW w:type="dxa" w:w="368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NVLink铜→光（Feynman代际）</w:t>
            </w:r>
          </w:p>
        </w:tc>
        <w:tc>
          <w:tcPr>
            <w:tcW w:type="dxa" w:w="368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Tomahawk Ultra/SUE以太网挑战NVLink</w:t>
            </w:r>
          </w:p>
        </w:tc>
      </w:tr>
      <w:tr>
        <w:tc>
          <w:tcPr>
            <w:tcW w:type="dxa" w:w="170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**标准姿态</w:t>
            </w:r>
          </w:p>
        </w:tc>
        <w:tc>
          <w:tcPr>
            <w:tcW w:type="dxa" w:w="368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平台级整合，自建生态</w:t>
            </w:r>
          </w:p>
        </w:tc>
        <w:tc>
          <w:tcPr>
            <w:tcW w:type="dxa" w:w="368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联合创立OCI MSA，推plug-and-play规范</w:t>
            </w:r>
          </w:p>
        </w:tc>
      </w:tr>
      <w:tr>
        <w:tc>
          <w:tcPr>
            <w:tcW w:type="dxa" w:w="170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**CPO/可插拔关系</w:t>
            </w:r>
          </w:p>
        </w:tc>
        <w:tc>
          <w:tcPr>
            <w:tcW w:type="dxa" w:w="368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CPO为新一代主流方向</w:t>
            </w:r>
          </w:p>
        </w:tc>
        <w:tc>
          <w:tcPr>
            <w:tcW w:type="dxa" w:w="368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Tomahawk 6同时提供CPO与可插拔版，认为短期共存</w:t>
            </w:r>
          </w:p>
        </w:tc>
      </w:tr>
    </w:tbl>
    <w:p>
      <w:pPr>
        <w:spacing w:after="40"/>
      </w:pPr>
    </w:p>
    <w:p>
      <w:pPr>
        <w:spacing w:after="120" w:before="0" w:line="312" w:lineRule="auto"/>
        <w:ind w:firstLine="420"/>
      </w:pPr>
      <w:r>
        <w:rPr>
          <w:rFonts w:ascii="微软雅黑" w:hAnsi="微软雅黑" w:eastAsia="微软雅黑"/>
          <w:b w:val="0"/>
          <w:i w:val="0"/>
          <w:color w:val="1A1A1A"/>
          <w:sz w:val="21"/>
        </w:rPr>
        <w:t>核心分野在于：英伟达追求“平台级整合与系统效率”，把 CPO 作为其 GPU+网络+软件统一平台的光层延伸；博通则走“方案导向、模块化、供应链规模”路线，向 Meta/Google/Amazon 等超大规模客户提供完整模块平台，由客户自行整合。</w:t>
      </w:r>
    </w:p>
    <w:p>
      <w:pPr>
        <w:keepNext/>
        <w:spacing w:before="200" w:after="80"/>
      </w:pPr>
      <w:r>
        <w:rPr>
          <w:rFonts w:ascii="微软雅黑" w:hAnsi="微软雅黑" w:eastAsia="微软雅黑"/>
          <w:b/>
          <w:color w:val="76B900"/>
          <w:sz w:val="25"/>
        </w:rPr>
        <w:t xml:space="preserve">4.2  </w:t>
      </w:r>
      <w:r>
        <w:rPr>
          <w:rFonts w:ascii="微软雅黑" w:hAnsi="微软雅黑" w:eastAsia="微软雅黑"/>
          <w:b/>
          <w:color w:val="1A1A1A"/>
          <w:sz w:val="25"/>
        </w:rPr>
        <w:t>英特尔：OCI Chiplet 路线</w:t>
      </w:r>
    </w:p>
    <w:p>
      <w:pPr>
        <w:spacing w:after="100" w:before="0" w:line="312" w:lineRule="auto"/>
        <w:ind w:firstLine="420"/>
      </w:pPr>
      <w:r>
        <w:rPr>
          <w:rFonts w:ascii="微软雅黑" w:hAnsi="微软雅黑" w:eastAsia="微软雅黑"/>
          <w:b w:val="0"/>
          <w:i w:val="0"/>
          <w:color w:val="1A1A1A"/>
          <w:sz w:val="21"/>
        </w:rPr>
        <w:t>英特尔是硅光先驱，2010年代中已将硅光贴到 Xeon/Xeon Phi，并首批实现高产量硅光商业化——累计出货超800万颗 PIC、3200万颗片上激光器，FIT 率低于0.1。其 CPO 战略聚焦 OCI（Optical Compute Interconnect）Chiplet：</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首发：</w:t>
      </w:r>
      <w:r>
        <w:rPr>
          <w:rFonts w:ascii="微软雅黑" w:hAnsi="微软雅黑" w:eastAsia="微软雅黑"/>
          <w:color w:val="1A1A1A"/>
          <w:sz w:val="21"/>
        </w:rPr>
        <w:t>2024年首发 OCI Chiplet，与 CPU 共封装，4Tb/s@约5pJ/bit，64条 PCIe 5.0×32GT/s，8对光纤100m，8个DWDM波长。</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定位：</w:t>
      </w:r>
      <w:r>
        <w:rPr>
          <w:rFonts w:ascii="微软雅黑" w:hAnsi="微软雅黑" w:eastAsia="微软雅黑"/>
          <w:color w:val="1A1A1A"/>
          <w:sz w:val="21"/>
        </w:rPr>
        <w:t>可贴任何计算设备（PCIe接口），定位为通用光I/O子系统，而非交换机专用。</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路线：</w:t>
      </w:r>
      <w:r>
        <w:rPr>
          <w:rFonts w:ascii="微软雅黑" w:hAnsi="微软雅黑" w:eastAsia="微软雅黑"/>
          <w:color w:val="1A1A1A"/>
          <w:sz w:val="21"/>
        </w:rPr>
        <w:t>下一代200G/lane PIC，瞄准800G/1.6T应用；尚未明确将 CPO 用于交换机。</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挑战：</w:t>
      </w:r>
      <w:r>
        <w:rPr>
          <w:rFonts w:ascii="微软雅黑" w:hAnsi="微软雅黑" w:eastAsia="微软雅黑"/>
          <w:color w:val="1A1A1A"/>
          <w:sz w:val="21"/>
        </w:rPr>
        <w:t>Intel 早期混合激光（laser-on-wafer）路线曾领先，但在3D混合键合等关键工艺上落后于 TSMC，且部分 CPO 产品（如 Cisco G100）已被放弃。</w:t>
      </w:r>
    </w:p>
    <w:p>
      <w:pPr>
        <w:keepNext/>
        <w:spacing w:before="200" w:after="80"/>
      </w:pPr>
      <w:r>
        <w:rPr>
          <w:rFonts w:ascii="微软雅黑" w:hAnsi="微软雅黑" w:eastAsia="微软雅黑"/>
          <w:b/>
          <w:color w:val="76B900"/>
          <w:sz w:val="25"/>
        </w:rPr>
        <w:t xml:space="preserve">4.3  </w:t>
      </w:r>
      <w:r>
        <w:rPr>
          <w:rFonts w:ascii="微软雅黑" w:hAnsi="微软雅黑" w:eastAsia="微软雅黑"/>
          <w:b/>
          <w:color w:val="1A1A1A"/>
          <w:sz w:val="25"/>
        </w:rPr>
        <w:t>Marvell：定制 XPU 共封装</w:t>
      </w:r>
    </w:p>
    <w:p>
      <w:pPr>
        <w:spacing w:after="100" w:before="0" w:line="312" w:lineRule="auto"/>
        <w:ind w:firstLine="420"/>
      </w:pPr>
      <w:r>
        <w:rPr>
          <w:rFonts w:ascii="微软雅黑" w:hAnsi="微软雅黑" w:eastAsia="微软雅黑"/>
          <w:b w:val="0"/>
          <w:i w:val="0"/>
          <w:color w:val="1A1A1A"/>
          <w:sz w:val="21"/>
        </w:rPr>
        <w:t>Marvell 是定制 ASIC 供应商（Meta/Google/Amazon），其 CPO 战略横跨交换机与定制加速器：</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产品：</w:t>
      </w:r>
      <w:r>
        <w:rPr>
          <w:rFonts w:ascii="微软雅黑" w:hAnsi="微软雅黑" w:eastAsia="微软雅黑"/>
          <w:color w:val="1A1A1A"/>
          <w:sz w:val="21"/>
        </w:rPr>
        <w:t>2024 OFC 首发3D硅光引擎（3D SiPho Engine），200Gbps电/光接口，6.4T引擎，32通道，数百集成元件。</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架构：</w:t>
      </w:r>
      <w:r>
        <w:rPr>
          <w:rFonts w:ascii="微软雅黑" w:hAnsi="微软雅黑" w:eastAsia="微软雅黑"/>
          <w:color w:val="1A1A1A"/>
          <w:sz w:val="21"/>
        </w:rPr>
        <w:t>将3D SiPho光引擎与 XPU compute die、HBM 共封装于单一基板，消除铜走线，实现光I/O较电信号快100×、reach更长。</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参考设计：</w:t>
      </w:r>
      <w:r>
        <w:rPr>
          <w:rFonts w:ascii="微软雅黑" w:hAnsi="微软雅黑" w:eastAsia="微软雅黑"/>
          <w:color w:val="1A1A1A"/>
          <w:sz w:val="21"/>
        </w:rPr>
        <w:t>参考设计在 ASIC 周围布置16个光引擎tile，采用可拆卸金属 PIC 耦合器保障服务性。</w:t>
      </w:r>
    </w:p>
    <w:p>
      <w:pPr>
        <w:keepNext/>
        <w:spacing w:before="200" w:after="80"/>
      </w:pPr>
      <w:r>
        <w:rPr>
          <w:rFonts w:ascii="微软雅黑" w:hAnsi="微软雅黑" w:eastAsia="微软雅黑"/>
          <w:b/>
          <w:color w:val="76B900"/>
          <w:sz w:val="25"/>
        </w:rPr>
        <w:t xml:space="preserve">4.4  </w:t>
      </w:r>
      <w:r>
        <w:rPr>
          <w:rFonts w:ascii="微软雅黑" w:hAnsi="微软雅黑" w:eastAsia="微软雅黑"/>
          <w:b/>
          <w:color w:val="1A1A1A"/>
          <w:sz w:val="25"/>
        </w:rPr>
        <w:t>新势力：Ayar Labs、Celestial AI、Ciena</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587"/>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玩家</w:t>
            </w:r>
          </w:p>
        </w:tc>
        <w:tc>
          <w:tcPr>
            <w:tcW w:type="dxa" w:w="1814"/>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定位</w:t>
            </w:r>
          </w:p>
        </w:tc>
        <w:tc>
          <w:tcPr>
            <w:tcW w:type="dxa" w:w="3118"/>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技术亮点</w:t>
            </w:r>
          </w:p>
        </w:tc>
        <w:tc>
          <w:tcPr>
            <w:tcW w:type="dxa" w:w="2551"/>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进展</w:t>
            </w:r>
          </w:p>
        </w:tc>
      </w:tr>
      <w:tr>
        <w:tc>
          <w:tcPr>
            <w:tcW w:type="dxa" w:w="1587"/>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**Ayar Labs</w:t>
            </w:r>
          </w:p>
        </w:tc>
        <w:tc>
          <w:tcPr>
            <w:tcW w:type="dxa" w:w="181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Scale-up光chiplet</w:t>
            </w:r>
          </w:p>
        </w:tc>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TeraPHY，UCIe标准，8Tb/s</w:t>
            </w:r>
          </w:p>
        </w:tc>
        <w:tc>
          <w:tcPr>
            <w:tcW w:type="dxa" w:w="255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原用GF Fotonix，转向TSMC COUPE</w:t>
            </w:r>
          </w:p>
        </w:tc>
      </w:tr>
      <w:tr>
        <w:tc>
          <w:tcPr>
            <w:tcW w:type="dxa" w:w="1587"/>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**Celestial AI</w:t>
            </w:r>
          </w:p>
        </w:tc>
        <w:tc>
          <w:tcPr>
            <w:tcW w:type="dxa" w:w="181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Photonic Fabric</w:t>
            </w:r>
          </w:p>
        </w:tc>
        <w:tc>
          <w:tcPr>
            <w:tcW w:type="dxa" w:w="311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约1.8Tb/s/mm²，约2.4pJ/bit</w:t>
            </w:r>
          </w:p>
        </w:tc>
        <w:tc>
          <w:tcPr>
            <w:tcW w:type="dxa" w:w="255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预计2028年底10亿美元收入run rate（亚马逊Trainium 4）</w:t>
            </w:r>
          </w:p>
        </w:tc>
      </w:tr>
      <w:tr>
        <w:tc>
          <w:tcPr>
            <w:tcW w:type="dxa" w:w="1587"/>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**Ciena</w:t>
            </w:r>
          </w:p>
        </w:tc>
        <w:tc>
          <w:tcPr>
            <w:tcW w:type="dxa" w:w="181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无retimer CPO模块</w:t>
            </w:r>
          </w:p>
        </w:tc>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Vesta 200，桥接pluggable与CPO</w:t>
            </w:r>
          </w:p>
        </w:tc>
        <w:tc>
          <w:tcPr>
            <w:tcW w:type="dxa" w:w="255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w:t>
            </w:r>
          </w:p>
        </w:tc>
      </w:tr>
      <w:tr>
        <w:tc>
          <w:tcPr>
            <w:tcW w:type="dxa" w:w="1587"/>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**Lightmatter</w:t>
            </w:r>
          </w:p>
        </w:tc>
        <w:tc>
          <w:tcPr>
            <w:tcW w:type="dxa" w:w="181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光计算互连</w:t>
            </w:r>
          </w:p>
        </w:tc>
        <w:tc>
          <w:tcPr>
            <w:tcW w:type="dxa" w:w="311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w:t>
            </w:r>
          </w:p>
        </w:tc>
        <w:tc>
          <w:tcPr>
            <w:tcW w:type="dxa" w:w="255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参与OCP标准</w:t>
            </w:r>
          </w:p>
        </w:tc>
      </w:tr>
      <w:tr>
        <w:tc>
          <w:tcPr>
            <w:tcW w:type="dxa" w:w="1587"/>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**Ranovus/MediaTek</w:t>
            </w:r>
          </w:p>
        </w:tc>
        <w:tc>
          <w:tcPr>
            <w:tcW w:type="dxa" w:w="181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模拟驱动CPO</w:t>
            </w:r>
          </w:p>
        </w:tc>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Odin Analog Drive，去retimer</w:t>
            </w:r>
          </w:p>
        </w:tc>
        <w:tc>
          <w:tcPr>
            <w:tcW w:type="dxa" w:w="255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8×800G电+8×800G光异质集成演示</w:t>
            </w:r>
          </w:p>
        </w:tc>
      </w:tr>
    </w:tbl>
    <w:p>
      <w:pPr>
        <w:spacing w:after="40"/>
      </w:pPr>
    </w:p>
    <w:p>
      <w:pPr>
        <w:keepNext/>
        <w:spacing w:before="200" w:after="80"/>
      </w:pPr>
      <w:r>
        <w:rPr>
          <w:rFonts w:ascii="微软雅黑" w:hAnsi="微软雅黑" w:eastAsia="微软雅黑"/>
          <w:b/>
          <w:color w:val="76B900"/>
          <w:sz w:val="25"/>
        </w:rPr>
        <w:t xml:space="preserve">4.5  </w:t>
      </w:r>
      <w:r>
        <w:rPr>
          <w:rFonts w:ascii="微软雅黑" w:hAnsi="微软雅黑" w:eastAsia="微软雅黑"/>
          <w:b/>
          <w:color w:val="1A1A1A"/>
          <w:sz w:val="25"/>
        </w:rPr>
        <w:t>代工厂路线：TSMC COUPE vs Intel/Samsung/GF</w:t>
      </w:r>
    </w:p>
    <w:p>
      <w:pPr>
        <w:spacing w:after="100" w:before="0" w:line="312" w:lineRule="auto"/>
        <w:ind w:firstLine="420"/>
      </w:pPr>
      <w:r>
        <w:rPr>
          <w:rFonts w:ascii="微软雅黑" w:hAnsi="微软雅黑" w:eastAsia="微软雅黑"/>
          <w:b w:val="0"/>
          <w:i w:val="0"/>
          <w:color w:val="1A1A1A"/>
          <w:sz w:val="21"/>
        </w:rPr>
        <w:t>四大代工厂的 CPO 制造策略差异显著，决定了整个产业链的产能与标准走向：</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01"/>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代工厂</w:t>
            </w:r>
          </w:p>
        </w:tc>
        <w:tc>
          <w:tcPr>
            <w:tcW w:type="dxa" w:w="2154"/>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路线特征</w:t>
            </w:r>
          </w:p>
        </w:tc>
        <w:tc>
          <w:tcPr>
            <w:tcW w:type="dxa" w:w="1814"/>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核心平台</w:t>
            </w:r>
          </w:p>
        </w:tc>
        <w:tc>
          <w:tcPr>
            <w:tcW w:type="dxa" w:w="3402"/>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关键节点</w:t>
            </w:r>
          </w:p>
        </w:tc>
      </w:tr>
      <w:tr>
        <w:tc>
          <w:tcPr>
            <w:tcW w:type="dxa" w:w="170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**TSMC</w:t>
            </w:r>
          </w:p>
        </w:tc>
        <w:tc>
          <w:tcPr>
            <w:tcW w:type="dxa" w:w="215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事实标准，三阶段演进</w:t>
            </w:r>
          </w:p>
        </w:tc>
        <w:tc>
          <w:tcPr>
            <w:tcW w:type="dxa" w:w="181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COUPE（SoIC-X混合键合）</w:t>
            </w:r>
          </w:p>
        </w:tc>
        <w:tc>
          <w:tcPr>
            <w:tcW w:type="dxa" w:w="3402"/>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1.6T可插拔→6.4T光引擎(2026)→12.8T光引擎(interposer,探索)；5×能效+20×低时延</w:t>
            </w:r>
          </w:p>
        </w:tc>
      </w:tr>
      <w:tr>
        <w:tc>
          <w:tcPr>
            <w:tcW w:type="dxa" w:w="170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**Intel Foundry</w:t>
            </w:r>
          </w:p>
        </w:tc>
        <w:tc>
          <w:tcPr>
            <w:tcW w:type="dxa" w:w="215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OCI chiplet路线，未公开交换机CPO</w:t>
            </w:r>
          </w:p>
        </w:tc>
        <w:tc>
          <w:tcPr>
            <w:tcW w:type="dxa" w:w="181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自有硅光产线</w:t>
            </w:r>
          </w:p>
        </w:tc>
        <w:tc>
          <w:tcPr>
            <w:tcW w:type="dxa" w:w="3402"/>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已出货800万PIC；4Tb/s OCI chiplet@5pJ/bit；200G/lane下一代</w:t>
            </w:r>
          </w:p>
        </w:tc>
      </w:tr>
      <w:tr>
        <w:tc>
          <w:tcPr>
            <w:tcW w:type="dxa" w:w="170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**Samsung Foundry</w:t>
            </w:r>
          </w:p>
        </w:tc>
        <w:tc>
          <w:tcPr>
            <w:tcW w:type="dxa" w:w="215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最全面，全栈路线</w:t>
            </w:r>
          </w:p>
        </w:tc>
        <w:tc>
          <w:tcPr>
            <w:tcW w:type="dxa" w:w="181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w:t>
            </w:r>
          </w:p>
        </w:tc>
        <w:tc>
          <w:tcPr>
            <w:tcW w:type="dxa" w:w="3402"/>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2026可插拔→2027 TCB堆叠OE(5pJ/bit)→2028交换机CPO(HCB 10μm)→2029 CPO Turnkey(interposer,2pJ/bit)→2030次世代(含激光)</w:t>
            </w:r>
          </w:p>
        </w:tc>
      </w:tr>
      <w:tr>
        <w:tc>
          <w:tcPr>
            <w:tcW w:type="dxa" w:w="170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**GlobalFoundries</w:t>
            </w:r>
          </w:p>
        </w:tc>
        <w:tc>
          <w:tcPr>
            <w:tcW w:type="dxa" w:w="215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merchant CPO provider，不产AI处理器</w:t>
            </w:r>
          </w:p>
        </w:tc>
        <w:tc>
          <w:tcPr>
            <w:tcW w:type="dxa" w:w="181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SCALE平台</w:t>
            </w:r>
          </w:p>
        </w:tc>
        <w:tc>
          <w:tcPr>
            <w:tcW w:type="dxa" w:w="3402"/>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提供光子IP+先进封装+参考光引擎，客户定制；OCI MSA连通</w:t>
            </w:r>
          </w:p>
        </w:tc>
      </w:tr>
    </w:tbl>
    <w:p>
      <w:pPr>
        <w:spacing w:after="40"/>
      </w:pP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TSMC 优势：</w:t>
      </w:r>
      <w:r>
        <w:rPr>
          <w:rFonts w:ascii="微软雅黑" w:hAnsi="微软雅黑" w:eastAsia="微软雅黑"/>
          <w:color w:val="1A1A1A"/>
          <w:sz w:val="21"/>
        </w:rPr>
        <w:t>TSMC 是唯一在合理规模上实现 die-to-wafer 混合键合的代工厂，曾为 AMD 出货多款混合键合芯片；其 COUPE 客户需使用 TSMC 自产 PIC（不封装其他厂硅光晶圆），形成“工艺护城河”。</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博通转向：</w:t>
      </w:r>
      <w:r>
        <w:rPr>
          <w:rFonts w:ascii="微软雅黑" w:hAnsi="微软雅黑" w:eastAsia="微软雅黑"/>
          <w:color w:val="1A1A1A"/>
          <w:sz w:val="21"/>
        </w:rPr>
        <w:t>博通因早期 FOWLP（SPIL）方案在100G/lane以上寄生电容过大，被迫转向 COUPE，凸显 TSMC 在光互连领域的代际领先。</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Tower 卡位：</w:t>
      </w:r>
      <w:r>
        <w:rPr>
          <w:rFonts w:ascii="微软雅黑" w:hAnsi="微软雅黑" w:eastAsia="微软雅黑"/>
          <w:color w:val="1A1A1A"/>
          <w:sz w:val="21"/>
        </w:rPr>
        <w:t>Tower Semiconductor 启动3亿美元扩产，2026年中将硅光产能提升至3倍，并已被英伟达锁定为1.6T模块硅光合作方——是 CPO 代工里“最被低估的卡位之一”。</w:t>
      </w:r>
    </w:p>
    <w:p>
      <w:pPr>
        <w:keepNext/>
        <w:spacing w:before="200" w:after="80"/>
      </w:pPr>
      <w:r>
        <w:rPr>
          <w:rFonts w:ascii="微软雅黑" w:hAnsi="微软雅黑" w:eastAsia="微软雅黑"/>
          <w:b/>
          <w:color w:val="76B900"/>
          <w:sz w:val="25"/>
        </w:rPr>
        <w:t xml:space="preserve">4.6  </w:t>
      </w:r>
      <w:r>
        <w:rPr>
          <w:rFonts w:ascii="微软雅黑" w:hAnsi="微软雅黑" w:eastAsia="微软雅黑"/>
          <w:b/>
          <w:color w:val="1A1A1A"/>
          <w:sz w:val="25"/>
        </w:rPr>
        <w:t>路线对比小结</w:t>
      </w:r>
    </w:p>
    <w:p>
      <w:pPr>
        <w:spacing w:after="100" w:before="0" w:line="312" w:lineRule="auto"/>
        <w:ind w:firstLine="420"/>
      </w:pPr>
      <w:r>
        <w:rPr>
          <w:rFonts w:ascii="微软雅黑" w:hAnsi="微软雅黑" w:eastAsia="微软雅黑"/>
          <w:b w:val="0"/>
          <w:i w:val="0"/>
          <w:color w:val="1A1A1A"/>
          <w:sz w:val="21"/>
        </w:rPr>
        <w:t>综合上述，CPO 玩家路线可归纳为三种战略范式：</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范式一·系统整合派：</w:t>
      </w:r>
      <w:r>
        <w:rPr>
          <w:rFonts w:ascii="微软雅黑" w:hAnsi="微软雅黑" w:eastAsia="微软雅黑"/>
          <w:color w:val="1A1A1A"/>
          <w:sz w:val="21"/>
        </w:rPr>
        <w:t>以英伟达为代表，CPO 是 GPU+网络+软件统一平台的光层延伸，追求系统级整合与生态锁定。</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范式二·模块方案派：</w:t>
      </w:r>
      <w:r>
        <w:rPr>
          <w:rFonts w:ascii="微软雅黑" w:hAnsi="微软雅黑" w:eastAsia="微软雅黑"/>
          <w:color w:val="1A1A1A"/>
          <w:sz w:val="21"/>
        </w:rPr>
        <w:t>以博通、Marvell 为代表，向超大规模客户提供完整模块/定制ASIC平台，由客户自行整合，强调供应链规模与标准开放（OCI MSA）。</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范式三·光I/O chiplet派：</w:t>
      </w:r>
      <w:r>
        <w:rPr>
          <w:rFonts w:ascii="微软雅黑" w:hAnsi="微软雅黑" w:eastAsia="微软雅黑"/>
          <w:color w:val="1A1A1A"/>
          <w:sz w:val="21"/>
        </w:rPr>
        <w:t>以 Intel、Ayar Labs、Celestial AI 为代表，聚焦光I/O chiplet 作为通用互连子系统，可贴任何计算设备，瞄准 Scale-up 光互连。</w:t>
      </w:r>
    </w:p>
    <w:p>
      <w:r>
        <w:br w:type="page"/>
      </w:r>
    </w:p>
    <w:p>
      <w:pPr>
        <w:keepNext/>
        <w:spacing w:before="320" w:after="160"/>
        <w:pBdr>
          <w:bottom w:val="single" w:sz="8" w:space="4" w:color="76B900"/>
        </w:pBdr>
      </w:pPr>
      <w:r>
        <w:rPr>
          <w:rFonts w:ascii="微软雅黑" w:hAnsi="微软雅黑" w:eastAsia="微软雅黑"/>
          <w:b/>
          <w:color w:val="76B900"/>
          <w:sz w:val="30"/>
        </w:rPr>
        <w:t xml:space="preserve">■ </w:t>
      </w:r>
      <w:r>
        <w:rPr>
          <w:rFonts w:ascii="微软雅黑" w:hAnsi="微软雅黑" w:eastAsia="微软雅黑"/>
          <w:b/>
          <w:color w:val="0B5A8C"/>
          <w:sz w:val="30"/>
        </w:rPr>
        <w:t xml:space="preserve">第五章  </w:t>
      </w:r>
      <w:r>
        <w:rPr>
          <w:rFonts w:ascii="微软雅黑" w:hAnsi="微软雅黑" w:eastAsia="微软雅黑"/>
          <w:b/>
          <w:color w:val="1A1A1A"/>
          <w:sz w:val="30"/>
        </w:rPr>
        <w:t>产业链与竞争格局</w:t>
      </w:r>
    </w:p>
    <w:p>
      <w:pPr>
        <w:keepNext/>
        <w:spacing w:before="200" w:after="80"/>
      </w:pPr>
      <w:r>
        <w:rPr>
          <w:rFonts w:ascii="微软雅黑" w:hAnsi="微软雅黑" w:eastAsia="微软雅黑"/>
          <w:b/>
          <w:color w:val="76B900"/>
          <w:sz w:val="25"/>
        </w:rPr>
        <w:t xml:space="preserve">5.1  </w:t>
      </w:r>
      <w:r>
        <w:rPr>
          <w:rFonts w:ascii="微软雅黑" w:hAnsi="微软雅黑" w:eastAsia="微软雅黑"/>
          <w:b/>
          <w:color w:val="1A1A1A"/>
          <w:sz w:val="25"/>
        </w:rPr>
        <w:t>产业链全景图</w:t>
      </w:r>
    </w:p>
    <w:p>
      <w:pPr>
        <w:spacing w:after="100" w:before="0" w:line="312" w:lineRule="auto"/>
        <w:ind w:firstLine="420"/>
      </w:pPr>
      <w:r>
        <w:rPr>
          <w:rFonts w:ascii="微软雅黑" w:hAnsi="微软雅黑" w:eastAsia="微软雅黑"/>
          <w:b w:val="0"/>
          <w:i w:val="0"/>
          <w:color w:val="1A1A1A"/>
          <w:sz w:val="21"/>
        </w:rPr>
        <w:t>CPO/光互连产业链可清晰分为上中下游三层，价值与壁垒呈“上游最高、中游次之、下游应用”的金字塔结构：</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020"/>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层级</w:t>
            </w:r>
          </w:p>
        </w:tc>
        <w:tc>
          <w:tcPr>
            <w:tcW w:type="dxa" w:w="1984"/>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环节</w:t>
            </w:r>
          </w:p>
        </w:tc>
        <w:tc>
          <w:tcPr>
            <w:tcW w:type="dxa" w:w="2948"/>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壁垒/特征</w:t>
            </w:r>
          </w:p>
        </w:tc>
        <w:tc>
          <w:tcPr>
            <w:tcW w:type="dxa" w:w="3118"/>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代表玩家</w:t>
            </w:r>
          </w:p>
        </w:tc>
      </w:tr>
      <w:tr>
        <w:tc>
          <w:tcPr>
            <w:tcW w:type="dxa" w:w="1020"/>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**上游</w:t>
            </w:r>
          </w:p>
        </w:tc>
        <w:tc>
          <w:tcPr>
            <w:tcW w:type="dxa" w:w="198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InP/GaAs衬底</w:t>
            </w:r>
          </w:p>
        </w:tc>
        <w:tc>
          <w:tcPr>
            <w:tcW w:type="dxa" w:w="294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最高壁垒，国产化率&lt;15%</w:t>
            </w:r>
          </w:p>
        </w:tc>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住友电工、AXTI、JX金属（日美）</w:t>
            </w:r>
          </w:p>
        </w:tc>
      </w:tr>
      <w:tr>
        <w:tc>
          <w:tcPr>
            <w:tcW w:type="dxa" w:w="1020"/>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**上游</w:t>
            </w:r>
          </w:p>
        </w:tc>
        <w:tc>
          <w:tcPr>
            <w:tcW w:type="dxa" w:w="198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EML/CW激光芯片</w:t>
            </w:r>
          </w:p>
        </w:tc>
        <w:tc>
          <w:tcPr>
            <w:tcW w:type="dxa" w:w="294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成本占比30—60%，扩产周期18—24月</w:t>
            </w:r>
          </w:p>
        </w:tc>
        <w:tc>
          <w:tcPr>
            <w:tcW w:type="dxa" w:w="311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Lumentum、Coherent（美）；源杰科技、长光华芯（中）</w:t>
            </w:r>
          </w:p>
        </w:tc>
      </w:tr>
      <w:tr>
        <w:tc>
          <w:tcPr>
            <w:tcW w:type="dxa" w:w="1020"/>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**上游</w:t>
            </w:r>
          </w:p>
        </w:tc>
        <w:tc>
          <w:tcPr>
            <w:tcW w:type="dxa" w:w="198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DSP/电芯片</w:t>
            </w:r>
          </w:p>
        </w:tc>
        <w:tc>
          <w:tcPr>
            <w:tcW w:type="dxa" w:w="294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高端被博通垄断</w:t>
            </w:r>
          </w:p>
        </w:tc>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Marvell、Broadcom；华为海思、中兴微</w:t>
            </w:r>
          </w:p>
        </w:tc>
      </w:tr>
      <w:tr>
        <w:tc>
          <w:tcPr>
            <w:tcW w:type="dxa" w:w="1020"/>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**上游</w:t>
            </w:r>
          </w:p>
        </w:tc>
        <w:tc>
          <w:tcPr>
            <w:tcW w:type="dxa" w:w="198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硅光代工</w:t>
            </w:r>
          </w:p>
        </w:tc>
        <w:tc>
          <w:tcPr>
            <w:tcW w:type="dxa" w:w="294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CPO时代“台积电”</w:t>
            </w:r>
          </w:p>
        </w:tc>
        <w:tc>
          <w:tcPr>
            <w:tcW w:type="dxa" w:w="311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TSMC、Tower、GF、Intel；中芯国际、华虹</w:t>
            </w:r>
          </w:p>
        </w:tc>
      </w:tr>
      <w:tr>
        <w:tc>
          <w:tcPr>
            <w:tcW w:type="dxa" w:w="1020"/>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**中游</w:t>
            </w:r>
          </w:p>
        </w:tc>
        <w:tc>
          <w:tcPr>
            <w:tcW w:type="dxa" w:w="198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光器件/光引擎</w:t>
            </w:r>
          </w:p>
        </w:tc>
        <w:tc>
          <w:tcPr>
            <w:tcW w:type="dxa" w:w="294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CPO核心部件</w:t>
            </w:r>
          </w:p>
        </w:tc>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天孚通信、太辰光、博创科技；腾景科技</w:t>
            </w:r>
          </w:p>
        </w:tc>
      </w:tr>
      <w:tr>
        <w:tc>
          <w:tcPr>
            <w:tcW w:type="dxa" w:w="1020"/>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**中游</w:t>
            </w:r>
          </w:p>
        </w:tc>
        <w:tc>
          <w:tcPr>
            <w:tcW w:type="dxa" w:w="198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光模块封装</w:t>
            </w:r>
          </w:p>
        </w:tc>
        <w:tc>
          <w:tcPr>
            <w:tcW w:type="dxa" w:w="294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中国全球主导（CR3&gt;55%）</w:t>
            </w:r>
          </w:p>
        </w:tc>
        <w:tc>
          <w:tcPr>
            <w:tcW w:type="dxa" w:w="311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中际旭创、新易盛、光迅科技、华工科技、剑桥科技</w:t>
            </w:r>
          </w:p>
        </w:tc>
      </w:tr>
      <w:tr>
        <w:tc>
          <w:tcPr>
            <w:tcW w:type="dxa" w:w="1020"/>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**中游</w:t>
            </w:r>
          </w:p>
        </w:tc>
        <w:tc>
          <w:tcPr>
            <w:tcW w:type="dxa" w:w="1984"/>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光纤光缆</w:t>
            </w:r>
          </w:p>
        </w:tc>
        <w:tc>
          <w:tcPr>
            <w:tcW w:type="dxa" w:w="294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w:t>
            </w:r>
          </w:p>
        </w:tc>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长飞光纤、亨通光电</w:t>
            </w:r>
          </w:p>
        </w:tc>
      </w:tr>
      <w:tr>
        <w:tc>
          <w:tcPr>
            <w:tcW w:type="dxa" w:w="1020"/>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**下游</w:t>
            </w:r>
          </w:p>
        </w:tc>
        <w:tc>
          <w:tcPr>
            <w:tcW w:type="dxa" w:w="1984"/>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AI数据中心</w:t>
            </w:r>
          </w:p>
        </w:tc>
        <w:tc>
          <w:tcPr>
            <w:tcW w:type="dxa" w:w="294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需求驱动</w:t>
            </w:r>
          </w:p>
        </w:tc>
        <w:tc>
          <w:tcPr>
            <w:tcW w:type="dxa" w:w="311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英伟达GPU集群；Meta/微软/谷歌/亚马逊；字节/阿里/腾讯</w:t>
            </w:r>
          </w:p>
        </w:tc>
      </w:tr>
    </w:tbl>
    <w:p>
      <w:pPr>
        <w:spacing w:after="40"/>
      </w:pPr>
    </w:p>
    <w:p>
      <w:pPr>
        <w:keepNext/>
        <w:spacing w:before="200" w:after="80"/>
      </w:pPr>
      <w:r>
        <w:rPr>
          <w:rFonts w:ascii="微软雅黑" w:hAnsi="微软雅黑" w:eastAsia="微软雅黑"/>
          <w:b/>
          <w:color w:val="76B900"/>
          <w:sz w:val="25"/>
        </w:rPr>
        <w:t xml:space="preserve">5.2  </w:t>
      </w:r>
      <w:r>
        <w:rPr>
          <w:rFonts w:ascii="微软雅黑" w:hAnsi="微软雅黑" w:eastAsia="微软雅黑"/>
          <w:b/>
          <w:color w:val="1A1A1A"/>
          <w:sz w:val="25"/>
        </w:rPr>
        <w:t>上游：InP 衬底与光芯片（最硬 choke point）</w:t>
      </w:r>
    </w:p>
    <w:p>
      <w:pPr>
        <w:spacing w:after="100" w:before="0" w:line="312" w:lineRule="auto"/>
        <w:ind w:firstLine="420"/>
      </w:pPr>
      <w:r>
        <w:rPr>
          <w:rFonts w:ascii="微软雅黑" w:hAnsi="微软雅黑" w:eastAsia="微软雅黑"/>
          <w:b w:val="0"/>
          <w:i w:val="0"/>
          <w:color w:val="1A1A1A"/>
          <w:sz w:val="21"/>
        </w:rPr>
        <w:t>上游是产业链最稀缺、扩产最慢、客户绕不过去的环节，也是英伟达40亿美元投资的直接标的：</w:t>
      </w:r>
    </w:p>
    <w:p>
      <w:pPr>
        <w:keepNext/>
        <w:spacing w:before="140" w:after="60"/>
      </w:pPr>
      <w:r>
        <w:rPr>
          <w:rFonts w:ascii="微软雅黑" w:hAnsi="微软雅黑" w:eastAsia="微软雅黑"/>
          <w:b/>
          <w:color w:val="0B5A8C"/>
          <w:sz w:val="22"/>
        </w:rPr>
        <w:t>◆ InP 衬底</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格局：</w:t>
      </w:r>
      <w:r>
        <w:rPr>
          <w:rFonts w:ascii="微软雅黑" w:hAnsi="微软雅黑" w:eastAsia="微软雅黑"/>
          <w:color w:val="1A1A1A"/>
          <w:sz w:val="21"/>
        </w:rPr>
        <w:t>全球约90% InP 衬底产能集中在日本住友电工、美国 AXTI、日本 JX 金属三家手中，中国国产化率不足15%。</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国产突破：</w:t>
      </w:r>
      <w:r>
        <w:rPr>
          <w:rFonts w:ascii="微软雅黑" w:hAnsi="微软雅黑" w:eastAsia="微软雅黑"/>
          <w:color w:val="1A1A1A"/>
          <w:sz w:val="21"/>
        </w:rPr>
        <w:t>云南锗业旗下云南鑫耀已实现6英寸 InP 衬底量产；有研新材承担国家02专项完成6英寸技术攻关；三安光电覆盖 InP 外延片与芯片制造。</w:t>
      </w:r>
    </w:p>
    <w:p>
      <w:pPr>
        <w:keepNext/>
        <w:spacing w:before="140" w:after="60"/>
      </w:pPr>
      <w:r>
        <w:rPr>
          <w:rFonts w:ascii="微软雅黑" w:hAnsi="微软雅黑" w:eastAsia="微软雅黑"/>
          <w:b/>
          <w:color w:val="0B5A8C"/>
          <w:sz w:val="22"/>
        </w:rPr>
        <w:t>◆ EML/CW 激光芯片</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双寡头：</w:t>
      </w:r>
      <w:r>
        <w:rPr>
          <w:rFonts w:ascii="微软雅黑" w:hAnsi="微软雅黑" w:eastAsia="微软雅黑"/>
          <w:color w:val="1A1A1A"/>
          <w:sz w:val="21"/>
        </w:rPr>
        <w:t>Lumentum 在200G EML 器件市场占有率超50%，全球领先；Coherent 拥有从硅光芯片、光模块、光引擎到 CPO 封装的全栈能力。</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国产替代：</w:t>
      </w:r>
      <w:r>
        <w:rPr>
          <w:rFonts w:ascii="微软雅黑" w:hAnsi="微软雅黑" w:eastAsia="微软雅黑"/>
          <w:color w:val="1A1A1A"/>
          <w:sz w:val="21"/>
        </w:rPr>
        <w:t>1.6T 所需高端 EML 国产化率不足25%；源杰科技100G EML 已量产、200G EML 送样，CW 70mW/100mW 已批量交付；长光华芯100G EML 量产、200G EML 送样。</w:t>
      </w:r>
    </w:p>
    <w:tbl>
      <w:tblPr>
        <w:tblW w:type="auto" w:w="0"/>
        <w:jc w:val="center"/>
        <w:tblLook w:firstColumn="1" w:firstRow="1" w:lastColumn="0" w:lastRow="0" w:noHBand="0" w:noVBand="1" w:val="04A0"/>
      </w:tblPr>
      <w:tblGrid>
        <w:gridCol w:w="9406"/>
      </w:tblGrid>
      <w:tr>
        <w:tc>
          <w:tcPr>
            <w:tcW w:type="dxa" w:w="9071"/>
            <w:shd w:val="clear" w:color="auto" w:fill="FFF4E6"/>
            <w:tcBorders>
              <w:left w:val="single" w:sz="24" w:color="C05A1C"/>
              <w:top w:val="nil"/>
              <w:bottom w:val="nil"/>
              <w:right w:val="nil"/>
            </w:tcBorders>
          </w:tcPr>
          <w:p>
            <w:pPr>
              <w:spacing w:before="60" w:after="60"/>
            </w:pPr>
            <w:r>
              <w:rPr>
                <w:rFonts w:ascii="微软雅黑" w:hAnsi="微软雅黑" w:eastAsia="微软雅黑"/>
                <w:b/>
                <w:color w:val="C05A1C"/>
                <w:sz w:val="20"/>
              </w:rPr>
              <w:t xml:space="preserve">▼ 关键数据  </w:t>
            </w:r>
            <w:r>
              <w:rPr>
                <w:rFonts w:ascii="微软雅黑" w:hAnsi="微软雅黑" w:eastAsia="微软雅黑"/>
                <w:b/>
                <w:color w:val="1A1A1A"/>
                <w:sz w:val="20"/>
              </w:rPr>
              <w:t xml:space="preserve">上游扩产周期  </w:t>
            </w:r>
            <w:r>
              <w:rPr>
                <w:rFonts w:ascii="微软雅黑" w:hAnsi="微软雅黑" w:eastAsia="微软雅黑"/>
                <w:b/>
                <w:color w:val="C05A1C"/>
                <w:sz w:val="21"/>
              </w:rPr>
              <w:t>18—24个月 （InP激光器产能爬坡远滞后于AI需求增速）</w:t>
            </w:r>
          </w:p>
        </w:tc>
      </w:tr>
    </w:tbl>
    <w:p>
      <w:pPr>
        <w:spacing w:after="40"/>
      </w:pPr>
    </w:p>
    <w:p>
      <w:pPr>
        <w:keepNext/>
        <w:spacing w:before="200" w:after="80"/>
      </w:pPr>
      <w:r>
        <w:rPr>
          <w:rFonts w:ascii="微软雅黑" w:hAnsi="微软雅黑" w:eastAsia="微软雅黑"/>
          <w:b/>
          <w:color w:val="76B900"/>
          <w:sz w:val="25"/>
        </w:rPr>
        <w:t xml:space="preserve">5.3  </w:t>
      </w:r>
      <w:r>
        <w:rPr>
          <w:rFonts w:ascii="微软雅黑" w:hAnsi="微软雅黑" w:eastAsia="微软雅黑"/>
          <w:b/>
          <w:color w:val="1A1A1A"/>
          <w:sz w:val="25"/>
        </w:rPr>
        <w:t>中游：光模块/光引擎（中国优势）</w:t>
      </w:r>
    </w:p>
    <w:p>
      <w:pPr>
        <w:spacing w:after="100" w:before="0" w:line="312" w:lineRule="auto"/>
        <w:ind w:firstLine="420"/>
      </w:pPr>
      <w:r>
        <w:rPr>
          <w:rFonts w:ascii="微软雅黑" w:hAnsi="微软雅黑" w:eastAsia="微软雅黑"/>
          <w:b w:val="0"/>
          <w:i w:val="0"/>
          <w:color w:val="1A1A1A"/>
          <w:sz w:val="21"/>
        </w:rPr>
        <w:t>中游是中国在全球 AI 基础设施供应链中真正取得市占主导权的环节，全球前十供应商中国占七席：</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587"/>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企业</w:t>
            </w:r>
          </w:p>
        </w:tc>
        <w:tc>
          <w:tcPr>
            <w:tcW w:type="dxa" w:w="2381"/>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核心地位</w:t>
            </w:r>
          </w:p>
        </w:tc>
        <w:tc>
          <w:tcPr>
            <w:tcW w:type="dxa" w:w="2551"/>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FY2025业绩</w:t>
            </w:r>
          </w:p>
        </w:tc>
        <w:tc>
          <w:tcPr>
            <w:tcW w:type="dxa" w:w="2551"/>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CPO进展</w:t>
            </w:r>
          </w:p>
        </w:tc>
      </w:tr>
      <w:tr>
        <w:tc>
          <w:tcPr>
            <w:tcW w:type="dxa" w:w="1587"/>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**中际旭创</w:t>
            </w:r>
          </w:p>
        </w:tc>
        <w:tc>
          <w:tcPr>
            <w:tcW w:type="dxa" w:w="238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全球光模块市占约23%（第一）</w:t>
            </w:r>
          </w:p>
        </w:tc>
        <w:tc>
          <w:tcPr>
            <w:tcW w:type="dxa" w:w="255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营收382.4亿(+60%)，净利107.97亿(+109%)</w:t>
            </w:r>
          </w:p>
        </w:tc>
        <w:tc>
          <w:tcPr>
            <w:tcW w:type="dxa" w:w="255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CPO全球市占约42%，1.6T段&gt;50%；港股募资550亿港元</w:t>
            </w:r>
          </w:p>
        </w:tc>
      </w:tr>
      <w:tr>
        <w:tc>
          <w:tcPr>
            <w:tcW w:type="dxa" w:w="1587"/>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**新易盛</w:t>
            </w:r>
          </w:p>
        </w:tc>
        <w:tc>
          <w:tcPr>
            <w:tcW w:type="dxa" w:w="238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全球市占第二</w:t>
            </w:r>
          </w:p>
        </w:tc>
        <w:tc>
          <w:tcPr>
            <w:tcW w:type="dxa" w:w="255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营收248.42亿(+187%)，净利95.32亿(+236%)</w:t>
            </w:r>
          </w:p>
        </w:tc>
        <w:tc>
          <w:tcPr>
            <w:tcW w:type="dxa" w:w="255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全互联形态体系（pluggable/LPO/LRO/XPO/NPO/CPO）；6.4T NPO+12.8T XPO</w:t>
            </w:r>
          </w:p>
        </w:tc>
      </w:tr>
      <w:tr>
        <w:tc>
          <w:tcPr>
            <w:tcW w:type="dxa" w:w="1587"/>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**光迅科技</w:t>
            </w:r>
          </w:p>
        </w:tc>
        <w:tc>
          <w:tcPr>
            <w:tcW w:type="dxa" w:w="238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国内唯一全产业链垂直整合</w:t>
            </w:r>
          </w:p>
        </w:tc>
        <w:tc>
          <w:tcPr>
            <w:tcW w:type="dxa" w:w="255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营收119.29亿(+44%)</w:t>
            </w:r>
          </w:p>
        </w:tc>
        <w:tc>
          <w:tcPr>
            <w:tcW w:type="dxa" w:w="255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自研硅光PIC+自供InP光源；OFC2026首发3.2T硅光NPO</w:t>
            </w:r>
          </w:p>
        </w:tc>
      </w:tr>
      <w:tr>
        <w:tc>
          <w:tcPr>
            <w:tcW w:type="dxa" w:w="1587"/>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**天孚通信</w:t>
            </w:r>
          </w:p>
        </w:tc>
        <w:tc>
          <w:tcPr>
            <w:tcW w:type="dxa" w:w="238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CPO光引擎核心供应商</w:t>
            </w:r>
          </w:p>
        </w:tc>
        <w:tc>
          <w:tcPr>
            <w:tcW w:type="dxa" w:w="255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营收51.63亿(+59%)，净利20.17亿(+50%)</w:t>
            </w:r>
          </w:p>
        </w:tc>
        <w:tc>
          <w:tcPr>
            <w:tcW w:type="dxa" w:w="255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高速光引擎已批量生产，进入思科供应链</w:t>
            </w:r>
          </w:p>
        </w:tc>
      </w:tr>
      <w:tr>
        <w:tc>
          <w:tcPr>
            <w:tcW w:type="dxa" w:w="1587"/>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**华工科技</w:t>
            </w:r>
          </w:p>
        </w:tc>
        <w:tc>
          <w:tcPr>
            <w:tcW w:type="dxa" w:w="238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800G LPO海外交付</w:t>
            </w:r>
          </w:p>
        </w:tc>
        <w:tc>
          <w:tcPr>
            <w:tcW w:type="dxa" w:w="255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w:t>
            </w:r>
          </w:p>
        </w:tc>
        <w:tc>
          <w:tcPr>
            <w:tcW w:type="dxa" w:w="2551"/>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OFC2025展出3.2T液冷CPO光引擎</w:t>
            </w:r>
          </w:p>
        </w:tc>
      </w:tr>
      <w:tr>
        <w:tc>
          <w:tcPr>
            <w:tcW w:type="dxa" w:w="1587"/>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**剑桥科技</w:t>
            </w:r>
          </w:p>
        </w:tc>
        <w:tc>
          <w:tcPr>
            <w:tcW w:type="dxa" w:w="238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CPO/硅光路线</w:t>
            </w:r>
          </w:p>
        </w:tc>
        <w:tc>
          <w:tcPr>
            <w:tcW w:type="dxa" w:w="255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w:t>
            </w:r>
          </w:p>
        </w:tc>
        <w:tc>
          <w:tcPr>
            <w:tcW w:type="dxa" w:w="2551"/>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3.2T—7.2T NPO/CPO集成硅光光引擎研发</w:t>
            </w:r>
          </w:p>
        </w:tc>
      </w:tr>
    </w:tbl>
    <w:p>
      <w:pPr>
        <w:spacing w:after="40"/>
      </w:pP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量产能力：</w:t>
      </w:r>
      <w:r>
        <w:rPr>
          <w:rFonts w:ascii="微软雅黑" w:hAnsi="微软雅黑" w:eastAsia="微软雅黑"/>
          <w:color w:val="1A1A1A"/>
          <w:sz w:val="21"/>
        </w:rPr>
        <w:t>中际旭创泰国工厂月产50万只800G模块，建成全球首条 CPO 量产线，1.6T月产能超20万只，拿下英伟达GB200平台70—80%订单。</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锁料信号：</w:t>
      </w:r>
      <w:r>
        <w:rPr>
          <w:rFonts w:ascii="微软雅黑" w:hAnsi="微软雅黑" w:eastAsia="微软雅黑"/>
          <w:color w:val="1A1A1A"/>
          <w:sz w:val="21"/>
        </w:rPr>
        <w:t>2026Q1 中际旭创、新易盛预付款分别暴涨1009%和3920%（合计超21亿元），用于锁定海外高端光芯片长协产能，保障1.6T交付——印证上游紧缺与中游“无大额预付、无排产额度”的硬规则。</w:t>
      </w:r>
    </w:p>
    <w:p>
      <w:pPr>
        <w:keepNext/>
        <w:spacing w:before="200" w:after="80"/>
      </w:pPr>
      <w:r>
        <w:rPr>
          <w:rFonts w:ascii="微软雅黑" w:hAnsi="微软雅黑" w:eastAsia="微软雅黑"/>
          <w:b/>
          <w:color w:val="76B900"/>
          <w:sz w:val="25"/>
        </w:rPr>
        <w:t xml:space="preserve">5.4  </w:t>
      </w:r>
      <w:r>
        <w:rPr>
          <w:rFonts w:ascii="微软雅黑" w:hAnsi="微软雅黑" w:eastAsia="微软雅黑"/>
          <w:b/>
          <w:color w:val="1A1A1A"/>
          <w:sz w:val="25"/>
        </w:rPr>
        <w:t>下游：AI 数据中心驱动</w:t>
      </w:r>
    </w:p>
    <w:p>
      <w:pPr>
        <w:spacing w:after="120" w:before="0" w:line="312" w:lineRule="auto"/>
        <w:ind w:firstLine="420"/>
      </w:pPr>
      <w:r>
        <w:rPr>
          <w:rFonts w:ascii="微软雅黑" w:hAnsi="微软雅黑" w:eastAsia="微软雅黑"/>
          <w:b w:val="0"/>
          <w:i w:val="0"/>
          <w:color w:val="1A1A1A"/>
          <w:sz w:val="21"/>
        </w:rPr>
        <w:t>下游需求集中于 AI 数据中心，北美五大云厂商（Alphabet、Amazon、Meta、Microsoft、Oracle）与中国五大（阿里、百度、字节、华为、腾讯）是主要买家。LightCounting 指出，2026年云厂商资本开支增速约70%，Meta、Oracle 计划到2026年投资翻倍。</w:t>
      </w:r>
    </w:p>
    <w:p>
      <w:pPr>
        <w:keepNext/>
        <w:spacing w:before="200" w:after="80"/>
      </w:pPr>
      <w:r>
        <w:rPr>
          <w:rFonts w:ascii="微软雅黑" w:hAnsi="微软雅黑" w:eastAsia="微软雅黑"/>
          <w:b/>
          <w:color w:val="76B900"/>
          <w:sz w:val="25"/>
        </w:rPr>
        <w:t xml:space="preserve">5.5  </w:t>
      </w:r>
      <w:r>
        <w:rPr>
          <w:rFonts w:ascii="微软雅黑" w:hAnsi="微软雅黑" w:eastAsia="微软雅黑"/>
          <w:b/>
          <w:color w:val="1A1A1A"/>
          <w:sz w:val="25"/>
        </w:rPr>
        <w:t>中国玩家的位置与国产替代路径</w:t>
      </w:r>
    </w:p>
    <w:p>
      <w:pPr>
        <w:spacing w:after="100" w:before="0" w:line="312" w:lineRule="auto"/>
        <w:ind w:firstLine="420"/>
      </w:pPr>
      <w:r>
        <w:rPr>
          <w:rFonts w:ascii="微软雅黑" w:hAnsi="微软雅黑" w:eastAsia="微软雅黑"/>
          <w:b w:val="0"/>
          <w:i w:val="0"/>
          <w:color w:val="1A1A1A"/>
          <w:sz w:val="21"/>
        </w:rPr>
        <w:t>中国产业链呈现“中游强势、上游承压”的结构特征，国产替代的核心战场已从模块厂转向芯片厂：</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中游已胜：</w:t>
      </w:r>
      <w:r>
        <w:rPr>
          <w:rFonts w:ascii="微软雅黑" w:hAnsi="微软雅黑" w:eastAsia="微软雅黑"/>
          <w:color w:val="1A1A1A"/>
          <w:sz w:val="21"/>
        </w:rPr>
        <w:t>国内光模块厂竞争力已验证，CR3 全球合计市占超55%，产能扩张与产品迭代先发优势难短期被追赶。</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上游承压：</w:t>
      </w:r>
      <w:r>
        <w:rPr>
          <w:rFonts w:ascii="微软雅黑" w:hAnsi="微软雅黑" w:eastAsia="微软雅黑"/>
          <w:color w:val="1A1A1A"/>
          <w:sz w:val="21"/>
        </w:rPr>
        <w:t>若出口管制延伸至 InP 衬底与 EML 芯片，国产化进度将直接受考验——这正是源杰科技、长光华芯被视为战略级企业的原因。</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瓶颈：</w:t>
      </w:r>
      <w:r>
        <w:rPr>
          <w:rFonts w:ascii="微软雅黑" w:hAnsi="微软雅黑" w:eastAsia="微软雅黑"/>
          <w:color w:val="1A1A1A"/>
          <w:sz w:val="21"/>
        </w:rPr>
        <w:t>国内缺乏高速率交换机芯片，暂无法提供整套 CPO 交换机，主要聚焦光引擎等上游环节切入 CPO 产业链（如天孚通信为思科供 CPO 光引擎）。</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路径：</w:t>
      </w:r>
      <w:r>
        <w:rPr>
          <w:rFonts w:ascii="微软雅黑" w:hAnsi="微软雅黑" w:eastAsia="微软雅黑"/>
          <w:color w:val="1A1A1A"/>
          <w:sz w:val="21"/>
        </w:rPr>
        <w:t>短期把400G/800G/1.6T可插拔做到全球成本最低、良率最高；长期自主突破 EML 与 InP 衬底，并推进 LPO 方案减少对外资 DSP 的依赖。</w:t>
      </w:r>
    </w:p>
    <w:tbl>
      <w:tblPr>
        <w:tblW w:type="auto" w:w="0"/>
        <w:jc w:val="center"/>
        <w:tblLook w:firstColumn="1" w:firstRow="1" w:lastColumn="0" w:lastRow="0" w:noHBand="0" w:noVBand="1" w:val="04A0"/>
      </w:tblPr>
      <w:tblGrid>
        <w:gridCol w:w="9406"/>
      </w:tblGrid>
      <w:tr>
        <w:tc>
          <w:tcPr>
            <w:tcW w:type="dxa" w:w="9071"/>
            <w:shd w:val="clear" w:color="auto" w:fill="EEF3F8"/>
            <w:tcBorders>
              <w:left w:val="single" w:sz="24" w:color="0B5A8C"/>
              <w:top w:val="nil"/>
              <w:bottom w:val="nil"/>
              <w:right w:val="nil"/>
            </w:tcBorders>
          </w:tcPr>
          <w:p>
            <w:pPr>
              <w:spacing w:before="80" w:after="80" w:line="300" w:lineRule="auto"/>
            </w:pPr>
            <w:r>
              <w:rPr>
                <w:rFonts w:ascii="微软雅黑" w:hAnsi="微软雅黑" w:eastAsia="微软雅黑"/>
                <w:i/>
                <w:color w:val="333333"/>
                <w:sz w:val="21"/>
              </w:rPr>
              <w:t>如果你只能选一个仓位，请盯住 EML/CW 激光源——这是当下最稀缺、扩产最慢、客户绕不过去的环节，对应 Lumentum、Coherent，国内的源杰科技、长光华芯、仕佳光子。</w:t>
            </w:r>
          </w:p>
          <w:p>
            <w:pPr>
              <w:spacing w:after="40"/>
              <w:jc w:val="right"/>
            </w:pPr>
            <w:r>
              <w:rPr>
                <w:rFonts w:ascii="微软雅黑" w:hAnsi="微软雅黑" w:eastAsia="微软雅黑"/>
                <w:color w:val="555555"/>
                <w:sz w:val="18"/>
              </w:rPr>
              <w:t>— 夜雨聆风《从InP衬底到光传输系统》</w:t>
            </w:r>
          </w:p>
        </w:tc>
      </w:tr>
    </w:tbl>
    <w:p>
      <w:pPr>
        <w:spacing w:after="40"/>
      </w:pPr>
    </w:p>
    <w:p>
      <w:r>
        <w:br w:type="page"/>
      </w:r>
    </w:p>
    <w:p>
      <w:pPr>
        <w:keepNext/>
        <w:spacing w:before="320" w:after="160"/>
        <w:pBdr>
          <w:bottom w:val="single" w:sz="8" w:space="4" w:color="76B900"/>
        </w:pBdr>
      </w:pPr>
      <w:r>
        <w:rPr>
          <w:rFonts w:ascii="微软雅黑" w:hAnsi="微软雅黑" w:eastAsia="微软雅黑"/>
          <w:b/>
          <w:color w:val="76B900"/>
          <w:sz w:val="30"/>
        </w:rPr>
        <w:t xml:space="preserve">■ </w:t>
      </w:r>
      <w:r>
        <w:rPr>
          <w:rFonts w:ascii="微软雅黑" w:hAnsi="微软雅黑" w:eastAsia="微软雅黑"/>
          <w:b/>
          <w:color w:val="0B5A8C"/>
          <w:sz w:val="30"/>
        </w:rPr>
        <w:t xml:space="preserve">第六章  </w:t>
      </w:r>
      <w:r>
        <w:rPr>
          <w:rFonts w:ascii="微软雅黑" w:hAnsi="微软雅黑" w:eastAsia="微软雅黑"/>
          <w:b/>
          <w:color w:val="1A1A1A"/>
          <w:sz w:val="30"/>
        </w:rPr>
        <w:t>市场规模与关键数据</w:t>
      </w:r>
    </w:p>
    <w:p>
      <w:pPr>
        <w:keepNext/>
        <w:spacing w:before="200" w:after="80"/>
      </w:pPr>
      <w:r>
        <w:rPr>
          <w:rFonts w:ascii="微软雅黑" w:hAnsi="微软雅黑" w:eastAsia="微软雅黑"/>
          <w:b/>
          <w:color w:val="76B900"/>
          <w:sz w:val="25"/>
        </w:rPr>
        <w:t xml:space="preserve">6.1  </w:t>
      </w:r>
      <w:r>
        <w:rPr>
          <w:rFonts w:ascii="微软雅黑" w:hAnsi="微软雅黑" w:eastAsia="微软雅黑"/>
          <w:b/>
          <w:color w:val="1A1A1A"/>
          <w:sz w:val="25"/>
        </w:rPr>
        <w:t>光模块市场：260亿美元与800亿美元远景</w:t>
      </w:r>
    </w:p>
    <w:tbl>
      <w:tblPr>
        <w:tblW w:type="auto" w:w="0"/>
        <w:jc w:val="center"/>
        <w:tblLayout w:type="fixed"/>
        <w:tblLook w:firstColumn="1" w:firstRow="1" w:lastColumn="0" w:lastRow="0" w:noHBand="0" w:noVBand="1" w:val="04A0"/>
      </w:tblPr>
      <w:tblGrid>
        <w:gridCol w:w="3135"/>
        <w:gridCol w:w="3135"/>
        <w:gridCol w:w="3135"/>
      </w:tblGrid>
      <w:tr>
        <w:tc>
          <w:tcPr>
            <w:tcW w:type="dxa" w:w="3118"/>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指标</w:t>
            </w:r>
          </w:p>
        </w:tc>
        <w:tc>
          <w:tcPr>
            <w:tcW w:type="dxa" w:w="3118"/>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数值</w:t>
            </w:r>
          </w:p>
        </w:tc>
        <w:tc>
          <w:tcPr>
            <w:tcW w:type="dxa" w:w="2835"/>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来源/说明</w:t>
            </w:r>
          </w:p>
        </w:tc>
      </w:tr>
      <w:tr>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**AI光模块市场规模(2025)</w:t>
            </w:r>
          </w:p>
        </w:tc>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165亿美元</w:t>
            </w:r>
          </w:p>
        </w:tc>
        <w:tc>
          <w:tcPr>
            <w:tcW w:type="dxa" w:w="283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LightCounting/TrendForce</w:t>
            </w:r>
          </w:p>
        </w:tc>
      </w:tr>
      <w:tr>
        <w:tc>
          <w:tcPr>
            <w:tcW w:type="dxa" w:w="311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**AI光模块市场规模(2026)</w:t>
            </w:r>
          </w:p>
        </w:tc>
        <w:tc>
          <w:tcPr>
            <w:tcW w:type="dxa" w:w="311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260亿美元（同比+57—60%）</w:t>
            </w:r>
          </w:p>
        </w:tc>
        <w:tc>
          <w:tcPr>
            <w:tcW w:type="dxa" w:w="283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LightCounting最新预测</w:t>
            </w:r>
          </w:p>
        </w:tc>
      </w:tr>
      <w:tr>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**以太网光模块远期(2031)</w:t>
            </w:r>
          </w:p>
        </w:tc>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800亿美元</w:t>
            </w:r>
          </w:p>
        </w:tc>
        <w:tc>
          <w:tcPr>
            <w:tcW w:type="dxa" w:w="283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LightCounting，假设较保守</w:t>
            </w:r>
          </w:p>
        </w:tc>
      </w:tr>
      <w:tr>
        <w:tc>
          <w:tcPr>
            <w:tcW w:type="dxa" w:w="311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**800G出货(2025)</w:t>
            </w:r>
          </w:p>
        </w:tc>
        <w:tc>
          <w:tcPr>
            <w:tcW w:type="dxa" w:w="311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超1500万只（同比+60%+）</w:t>
            </w:r>
          </w:p>
        </w:tc>
        <w:tc>
          <w:tcPr>
            <w:tcW w:type="dxa" w:w="283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数据中心部署绝对主力</w:t>
            </w:r>
          </w:p>
        </w:tc>
      </w:tr>
      <w:tr>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**1.6T出货(2025,中际旭创)</w:t>
            </w:r>
          </w:p>
        </w:tc>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约300万只，全球份额&gt;50%</w:t>
            </w:r>
          </w:p>
        </w:tc>
        <w:tc>
          <w:tcPr>
            <w:tcW w:type="dxa" w:w="283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量产竞赛领先者</w:t>
            </w:r>
          </w:p>
        </w:tc>
      </w:tr>
      <w:tr>
        <w:tc>
          <w:tcPr>
            <w:tcW w:type="dxa" w:w="311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**2026云厂商capex增速</w:t>
            </w:r>
          </w:p>
        </w:tc>
        <w:tc>
          <w:tcPr>
            <w:tcW w:type="dxa" w:w="311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约70%</w:t>
            </w:r>
          </w:p>
        </w:tc>
        <w:tc>
          <w:tcPr>
            <w:tcW w:type="dxa" w:w="283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Meta/Oracle计划翻倍</w:t>
            </w:r>
          </w:p>
        </w:tc>
      </w:tr>
      <w:tr>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**2027capex增速(预测)</w:t>
            </w:r>
          </w:p>
        </w:tc>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约30%</w:t>
            </w:r>
          </w:p>
        </w:tc>
        <w:tc>
          <w:tcPr>
            <w:tcW w:type="dxa" w:w="283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增速回落但基数仍高</w:t>
            </w:r>
          </w:p>
        </w:tc>
      </w:tr>
    </w:tbl>
    <w:p>
      <w:pPr>
        <w:spacing w:after="40"/>
      </w:pPr>
    </w:p>
    <w:p>
      <w:pPr>
        <w:keepNext/>
        <w:spacing w:before="200" w:after="80"/>
      </w:pPr>
      <w:r>
        <w:rPr>
          <w:rFonts w:ascii="微软雅黑" w:hAnsi="微软雅黑" w:eastAsia="微软雅黑"/>
          <w:b/>
          <w:color w:val="76B900"/>
          <w:sz w:val="25"/>
        </w:rPr>
        <w:t xml:space="preserve">6.2  </w:t>
      </w:r>
      <w:r>
        <w:rPr>
          <w:rFonts w:ascii="微软雅黑" w:hAnsi="微软雅黑" w:eastAsia="微软雅黑"/>
          <w:b/>
          <w:color w:val="1A1A1A"/>
          <w:sz w:val="25"/>
        </w:rPr>
        <w:t>CPO 与硅光渗透</w:t>
      </w:r>
    </w:p>
    <w:tbl>
      <w:tblPr>
        <w:tblW w:type="auto" w:w="0"/>
        <w:jc w:val="center"/>
        <w:tblLayout w:type="fixed"/>
        <w:tblLook w:firstColumn="1" w:firstRow="1" w:lastColumn="0" w:lastRow="0" w:noHBand="0" w:noVBand="1" w:val="04A0"/>
      </w:tblPr>
      <w:tblGrid>
        <w:gridCol w:w="3135"/>
        <w:gridCol w:w="3135"/>
        <w:gridCol w:w="3135"/>
      </w:tblGrid>
      <w:tr>
        <w:tc>
          <w:tcPr>
            <w:tcW w:type="dxa" w:w="3118"/>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指标</w:t>
            </w:r>
          </w:p>
        </w:tc>
        <w:tc>
          <w:tcPr>
            <w:tcW w:type="dxa" w:w="3118"/>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数值</w:t>
            </w:r>
          </w:p>
        </w:tc>
        <w:tc>
          <w:tcPr>
            <w:tcW w:type="dxa" w:w="2835"/>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说明</w:t>
            </w:r>
          </w:p>
        </w:tc>
      </w:tr>
      <w:tr>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**CPO市场规模(2027预测)</w:t>
            </w:r>
          </w:p>
        </w:tc>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约54亿美元</w:t>
            </w:r>
          </w:p>
        </w:tc>
        <w:tc>
          <w:tcPr>
            <w:tcW w:type="dxa" w:w="283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CPO出货从800G/1.6T端口开始</w:t>
            </w:r>
          </w:p>
        </w:tc>
      </w:tr>
      <w:tr>
        <w:tc>
          <w:tcPr>
            <w:tcW w:type="dxa" w:w="311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**硅光渗透率(2025→2030)</w:t>
            </w:r>
          </w:p>
        </w:tc>
        <w:tc>
          <w:tcPr>
            <w:tcW w:type="dxa" w:w="311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约30% → 约60%</w:t>
            </w:r>
          </w:p>
        </w:tc>
        <w:tc>
          <w:tcPr>
            <w:tcW w:type="dxa" w:w="283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LightCounting，硅光规模渗透确定</w:t>
            </w:r>
          </w:p>
        </w:tc>
      </w:tr>
      <w:tr>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**CPO/NPO大规模替代时点</w:t>
            </w:r>
          </w:p>
        </w:tc>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2027—2028年后</w:t>
            </w:r>
          </w:p>
        </w:tc>
        <w:tc>
          <w:tcPr>
            <w:tcW w:type="dxa" w:w="283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此前可插拔市场窗口仍宽</w:t>
            </w:r>
          </w:p>
        </w:tc>
      </w:tr>
      <w:tr>
        <w:tc>
          <w:tcPr>
            <w:tcW w:type="dxa" w:w="311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**NVLink光互连引入</w:t>
            </w:r>
          </w:p>
        </w:tc>
        <w:tc>
          <w:tcPr>
            <w:tcW w:type="dxa" w:w="311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约2028（Feynman代际）</w:t>
            </w:r>
          </w:p>
        </w:tc>
        <w:tc>
          <w:tcPr>
            <w:tcW w:type="dxa" w:w="283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Scale-up CPO真正放量</w:t>
            </w:r>
          </w:p>
        </w:tc>
      </w:tr>
      <w:tr>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**TSMC COUPE量产起点</w:t>
            </w:r>
          </w:p>
        </w:tc>
        <w:tc>
          <w:tcPr>
            <w:tcW w:type="dxa" w:w="311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2025</w:t>
            </w:r>
          </w:p>
        </w:tc>
        <w:tc>
          <w:tcPr>
            <w:tcW w:type="dxa" w:w="283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Spectrum-X与TH6-Davisson均基于COUPE</w:t>
            </w:r>
          </w:p>
        </w:tc>
      </w:tr>
    </w:tbl>
    <w:p>
      <w:pPr>
        <w:spacing w:after="40"/>
      </w:pPr>
    </w:p>
    <w:p>
      <w:pPr>
        <w:keepNext/>
        <w:spacing w:before="200" w:after="80"/>
      </w:pPr>
      <w:r>
        <w:rPr>
          <w:rFonts w:ascii="微软雅黑" w:hAnsi="微软雅黑" w:eastAsia="微软雅黑"/>
          <w:b/>
          <w:color w:val="76B900"/>
          <w:sz w:val="25"/>
        </w:rPr>
        <w:t xml:space="preserve">6.3  </w:t>
      </w:r>
      <w:r>
        <w:rPr>
          <w:rFonts w:ascii="微软雅黑" w:hAnsi="微软雅黑" w:eastAsia="微软雅黑"/>
          <w:b/>
          <w:color w:val="1A1A1A"/>
          <w:sz w:val="25"/>
        </w:rPr>
        <w:t>InP 产能瓶颈：持续到2027</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厂商表态：</w:t>
      </w:r>
      <w:r>
        <w:rPr>
          <w:rFonts w:ascii="微软雅黑" w:hAnsi="微软雅黑" w:eastAsia="微软雅黑"/>
          <w:color w:val="1A1A1A"/>
          <w:sz w:val="21"/>
        </w:rPr>
        <w:t>Coherent CEO Jim Anderson：“行业在 InP 上受限，很可能持续到2027年”，“可能是数年”。</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Lumentum：</w:t>
      </w:r>
      <w:r>
        <w:rPr>
          <w:rFonts w:ascii="微软雅黑" w:hAnsi="微软雅黑" w:eastAsia="微软雅黑"/>
          <w:color w:val="1A1A1A"/>
          <w:sz w:val="21"/>
        </w:rPr>
        <w:t>Lumentum 现有4座 InP 晶圆厂并建第5座，过去12—18个月产出增长4倍，但需求仍超供给。</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LightCounting：</w:t>
      </w:r>
      <w:r>
        <w:rPr>
          <w:rFonts w:ascii="微软雅黑" w:hAnsi="微软雅黑" w:eastAsia="微软雅黑"/>
          <w:color w:val="1A1A1A"/>
          <w:sz w:val="21"/>
        </w:rPr>
        <w:t>LightCounting 2026年7月：“短缺可能持续到2026年中甚至2027年”，几乎所有高速收发器元件均紧缺，双重下单蔓延。</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结构性瓶颈：</w:t>
      </w:r>
      <w:r>
        <w:rPr>
          <w:rFonts w:ascii="微软雅黑" w:hAnsi="微软雅黑" w:eastAsia="微软雅黑"/>
          <w:color w:val="1A1A1A"/>
          <w:sz w:val="21"/>
        </w:rPr>
        <w:t>扩产周期长达18—24个月，产能爬坡远滞后于AI需求增速——这正是英伟达“提前备料”的根本原因。</w:t>
      </w:r>
    </w:p>
    <w:p>
      <w:pPr>
        <w:keepNext/>
        <w:spacing w:before="200" w:after="80"/>
      </w:pPr>
      <w:r>
        <w:rPr>
          <w:rFonts w:ascii="微软雅黑" w:hAnsi="微软雅黑" w:eastAsia="微软雅黑"/>
          <w:b/>
          <w:color w:val="76B900"/>
          <w:sz w:val="25"/>
        </w:rPr>
        <w:t xml:space="preserve">6.4  </w:t>
      </w:r>
      <w:r>
        <w:rPr>
          <w:rFonts w:ascii="微软雅黑" w:hAnsi="微软雅黑" w:eastAsia="微软雅黑"/>
          <w:b/>
          <w:color w:val="1A1A1A"/>
          <w:sz w:val="25"/>
        </w:rPr>
        <w:t>关键公司业绩与产能</w:t>
      </w:r>
    </w:p>
    <w:tbl>
      <w:tblPr>
        <w:tblW w:type="auto" w:w="0"/>
        <w:jc w:val="center"/>
        <w:tblLayout w:type="fixed"/>
        <w:tblLook w:firstColumn="1" w:firstRow="1" w:lastColumn="0" w:lastRow="0" w:noHBand="0" w:noVBand="1" w:val="04A0"/>
      </w:tblPr>
      <w:tblGrid>
        <w:gridCol w:w="3135"/>
        <w:gridCol w:w="3135"/>
        <w:gridCol w:w="3135"/>
      </w:tblGrid>
      <w:tr>
        <w:tc>
          <w:tcPr>
            <w:tcW w:type="dxa" w:w="1587"/>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公司</w:t>
            </w:r>
          </w:p>
        </w:tc>
        <w:tc>
          <w:tcPr>
            <w:tcW w:type="dxa" w:w="3855"/>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关键数据</w:t>
            </w:r>
          </w:p>
        </w:tc>
        <w:tc>
          <w:tcPr>
            <w:tcW w:type="dxa" w:w="3628"/>
            <w:shd w:val="clear" w:color="auto" w:fill="0B5A8C"/>
            <w:tcBorders>
              <w:top w:val="single" w:sz="6" w:color="BFBFBF"/>
              <w:left w:val="single" w:sz="6" w:color="BFBFBF"/>
              <w:bottom w:val="single" w:sz="6" w:color="BFBFBF"/>
              <w:right w:val="single" w:sz="6" w:color="BFBFBF"/>
            </w:tcBorders>
            <w:vAlign w:val="center"/>
          </w:tcPr>
          <w:p>
            <w:pPr>
              <w:spacing w:after="20" w:before="20"/>
              <w:jc w:val="center"/>
            </w:pPr>
            <w:r>
              <w:rPr>
                <w:rFonts w:ascii="微软雅黑" w:hAnsi="微软雅黑" w:eastAsia="微软雅黑"/>
                <w:b/>
                <w:color w:val="FFFFFF"/>
                <w:sz w:val="19"/>
              </w:rPr>
              <w:t>说明</w:t>
            </w:r>
          </w:p>
        </w:tc>
      </w:tr>
      <w:tr>
        <w:tc>
          <w:tcPr>
            <w:tcW w:type="dxa" w:w="1587"/>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**Lumentum</w:t>
            </w:r>
          </w:p>
        </w:tc>
        <w:tc>
          <w:tcPr>
            <w:tcW w:type="dxa" w:w="385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OCS订单积压超4亿美元；上季营收6.655亿美元；200G EML市占&gt;50%</w:t>
            </w:r>
          </w:p>
        </w:tc>
        <w:tc>
          <w:tcPr>
            <w:tcW w:type="dxa" w:w="362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三业务：可插拔收发器/OCS/工业激光；日本厂EML+CW、英国厂转CPO、美国厂专供CPO</w:t>
            </w:r>
          </w:p>
        </w:tc>
      </w:tr>
      <w:tr>
        <w:tc>
          <w:tcPr>
            <w:tcW w:type="dxa" w:w="1587"/>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**Coherent</w:t>
            </w:r>
          </w:p>
        </w:tc>
        <w:tc>
          <w:tcPr>
            <w:tcW w:type="dxa" w:w="385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业务覆盖20+国家；建德州Sherman厂扩InP</w:t>
            </w:r>
          </w:p>
        </w:tc>
        <w:tc>
          <w:tcPr>
            <w:tcW w:type="dxa" w:w="362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全栈：硅光芯片→光模块→光引擎→CPO封装；DLX OCS 64/320/512端口</w:t>
            </w:r>
          </w:p>
        </w:tc>
      </w:tr>
      <w:tr>
        <w:tc>
          <w:tcPr>
            <w:tcW w:type="dxa" w:w="1587"/>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**中际旭创</w:t>
            </w:r>
          </w:p>
        </w:tc>
        <w:tc>
          <w:tcPr>
            <w:tcW w:type="dxa" w:w="385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FY2025营收382.4亿(+60%)，净利107.97亿(+109%)；4月市值破万亿</w:t>
            </w:r>
          </w:p>
        </w:tc>
        <w:tc>
          <w:tcPr>
            <w:tcW w:type="dxa" w:w="362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CPO全球市占42%，1.6T段&gt;50%；港股募资550亿港元，35%投1.6T/3.2T/CPO</w:t>
            </w:r>
          </w:p>
        </w:tc>
      </w:tr>
      <w:tr>
        <w:tc>
          <w:tcPr>
            <w:tcW w:type="dxa" w:w="1587"/>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**新易盛</w:t>
            </w:r>
          </w:p>
        </w:tc>
        <w:tc>
          <w:tcPr>
            <w:tcW w:type="dxa" w:w="3855"/>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FY2025营收248.42亿(+187%)，净利95.32亿(+236%)</w:t>
            </w:r>
          </w:p>
        </w:tc>
        <w:tc>
          <w:tcPr>
            <w:tcW w:type="dxa" w:w="3628"/>
            <w:shd w:val="clear" w:color="auto" w:fill="F2F6FA"/>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全互联形态体系；2026年3月发1.6T DR4+6.4T NPO+12.8T XPO</w:t>
            </w:r>
          </w:p>
        </w:tc>
      </w:tr>
      <w:tr>
        <w:tc>
          <w:tcPr>
            <w:tcW w:type="dxa" w:w="1587"/>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**源杰科技</w:t>
            </w:r>
          </w:p>
        </w:tc>
        <w:tc>
          <w:tcPr>
            <w:tcW w:type="dxa" w:w="3855"/>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FY2025营收6.01亿(+138.5%)，CW出货超百万颗</w:t>
            </w:r>
          </w:p>
        </w:tc>
        <w:tc>
          <w:tcPr>
            <w:tcW w:type="dxa" w:w="3628"/>
            <w:tcBorders>
              <w:top w:val="single" w:sz="6" w:color="BFBFBF"/>
              <w:left w:val="single" w:sz="6" w:color="BFBFBF"/>
              <w:bottom w:val="single" w:sz="6" w:color="BFBFBF"/>
              <w:right w:val="single" w:sz="6" w:color="BFBFBF"/>
            </w:tcBorders>
            <w:vAlign w:val="center"/>
          </w:tcPr>
          <w:p>
            <w:pPr>
              <w:spacing w:after="20" w:before="20" w:line="276" w:lineRule="auto"/>
            </w:pPr>
            <w:r>
              <w:rPr>
                <w:rFonts w:ascii="微软雅黑" w:hAnsi="微软雅黑" w:eastAsia="微软雅黑"/>
                <w:color w:val="1A1A1A"/>
                <w:sz w:val="19"/>
              </w:rPr>
              <w:t>100G EML量产，200G EML送样；CW 70/100mW批量交付</w:t>
            </w:r>
          </w:p>
        </w:tc>
      </w:tr>
    </w:tbl>
    <w:p>
      <w:pPr>
        <w:spacing w:after="40"/>
      </w:pPr>
    </w:p>
    <w:tbl>
      <w:tblPr>
        <w:tblW w:type="auto" w:w="0"/>
        <w:jc w:val="center"/>
        <w:tblLook w:firstColumn="1" w:firstRow="1" w:lastColumn="0" w:lastRow="0" w:noHBand="0" w:noVBand="1" w:val="04A0"/>
      </w:tblPr>
      <w:tblGrid>
        <w:gridCol w:w="9406"/>
      </w:tblGrid>
      <w:tr>
        <w:tc>
          <w:tcPr>
            <w:tcW w:type="dxa" w:w="9071"/>
            <w:shd w:val="clear" w:color="auto" w:fill="FFF4E6"/>
            <w:tcBorders>
              <w:left w:val="single" w:sz="24" w:color="C05A1C"/>
              <w:top w:val="nil"/>
              <w:bottom w:val="nil"/>
              <w:right w:val="nil"/>
            </w:tcBorders>
          </w:tcPr>
          <w:p>
            <w:pPr>
              <w:spacing w:before="60" w:after="60"/>
            </w:pPr>
            <w:r>
              <w:rPr>
                <w:rFonts w:ascii="微软雅黑" w:hAnsi="微软雅黑" w:eastAsia="微软雅黑"/>
                <w:b/>
                <w:color w:val="C05A1C"/>
                <w:sz w:val="20"/>
              </w:rPr>
              <w:t xml:space="preserve">▼ 关键数据  </w:t>
            </w:r>
            <w:r>
              <w:rPr>
                <w:rFonts w:ascii="微软雅黑" w:hAnsi="微软雅黑" w:eastAsia="微软雅黑"/>
                <w:b/>
                <w:color w:val="1A1A1A"/>
                <w:sz w:val="20"/>
              </w:rPr>
              <w:t xml:space="preserve">英伟达 InP 锁定份额  </w:t>
            </w:r>
            <w:r>
              <w:rPr>
                <w:rFonts w:ascii="微软雅黑" w:hAnsi="微软雅黑" w:eastAsia="微软雅黑"/>
                <w:b/>
                <w:color w:val="C05A1C"/>
                <w:sz w:val="21"/>
              </w:rPr>
              <w:t>全球两大主要 InP 供应商的大部分产能 （Lumentum CEO 表述）</w:t>
            </w:r>
          </w:p>
        </w:tc>
      </w:tr>
    </w:tbl>
    <w:p>
      <w:pPr>
        <w:spacing w:after="40"/>
      </w:pPr>
    </w:p>
    <w:p>
      <w:r>
        <w:br w:type="page"/>
      </w:r>
    </w:p>
    <w:p>
      <w:pPr>
        <w:keepNext/>
        <w:spacing w:before="320" w:after="160"/>
        <w:pBdr>
          <w:bottom w:val="single" w:sz="8" w:space="4" w:color="76B900"/>
        </w:pBdr>
      </w:pPr>
      <w:r>
        <w:rPr>
          <w:rFonts w:ascii="微软雅黑" w:hAnsi="微软雅黑" w:eastAsia="微软雅黑"/>
          <w:b/>
          <w:color w:val="76B900"/>
          <w:sz w:val="30"/>
        </w:rPr>
        <w:t xml:space="preserve">■ </w:t>
      </w:r>
      <w:r>
        <w:rPr>
          <w:rFonts w:ascii="微软雅黑" w:hAnsi="微软雅黑" w:eastAsia="微软雅黑"/>
          <w:b/>
          <w:color w:val="0B5A8C"/>
          <w:sz w:val="30"/>
        </w:rPr>
        <w:t xml:space="preserve">第七章  </w:t>
      </w:r>
      <w:r>
        <w:rPr>
          <w:rFonts w:ascii="微软雅黑" w:hAnsi="微软雅黑" w:eastAsia="微软雅黑"/>
          <w:b/>
          <w:color w:val="1A1A1A"/>
          <w:sz w:val="30"/>
        </w:rPr>
        <w:t>投资逻辑与风险</w:t>
      </w:r>
    </w:p>
    <w:p>
      <w:pPr>
        <w:keepNext/>
        <w:spacing w:before="200" w:after="80"/>
      </w:pPr>
      <w:r>
        <w:rPr>
          <w:rFonts w:ascii="微软雅黑" w:hAnsi="微软雅黑" w:eastAsia="微软雅黑"/>
          <w:b/>
          <w:color w:val="76B900"/>
          <w:sz w:val="25"/>
        </w:rPr>
        <w:t xml:space="preserve">7.1  </w:t>
      </w:r>
      <w:r>
        <w:rPr>
          <w:rFonts w:ascii="微软雅黑" w:hAnsi="微软雅黑" w:eastAsia="微软雅黑"/>
          <w:b/>
          <w:color w:val="1A1A1A"/>
          <w:sz w:val="25"/>
        </w:rPr>
        <w:t>战略价值：四重锁定</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供应链锁定：</w:t>
      </w:r>
      <w:r>
        <w:rPr>
          <w:rFonts w:ascii="微软雅黑" w:hAnsi="微软雅黑" w:eastAsia="微软雅黑"/>
          <w:color w:val="1A1A1A"/>
          <w:sz w:val="21"/>
        </w:rPr>
        <w:t>通过双供非独家协议锁定 Lumentum 与 Coherent 的 InP CW 激光器产能，为2027H2起的 Scale-out CPO 与远期 Scale-up CPO“备料”，规避供应链波动对 GPU 与 AI 基础设施交付的影响。</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标准话语权：</w:t>
      </w:r>
      <w:r>
        <w:rPr>
          <w:rFonts w:ascii="微软雅黑" w:hAnsi="微软雅黑" w:eastAsia="微软雅黑"/>
          <w:color w:val="1A1A1A"/>
          <w:sz w:val="21"/>
        </w:rPr>
        <w:t>推动 CPO 标准路线向自身 MRM+COUPE+ELS+可拆卸OSA 组合靠拢，巩固 AI 基础设施标准话语权，延续 CUDA/InfiniBand/NVLink 的生态护城河打法。</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本土化韧性：</w:t>
      </w:r>
      <w:r>
        <w:rPr>
          <w:rFonts w:ascii="微软雅黑" w:hAnsi="微软雅黑" w:eastAsia="微软雅黑"/>
          <w:color w:val="1A1A1A"/>
          <w:sz w:val="21"/>
        </w:rPr>
        <w:t>40亿美元全部投向美国本土制造基地扩建与升级，符合供应链“去风险”趋势，缩短供应链周期、降低地缘与物流风险。</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商用拐点前置：</w:t>
      </w:r>
      <w:r>
        <w:rPr>
          <w:rFonts w:ascii="微软雅黑" w:hAnsi="微软雅黑" w:eastAsia="微软雅黑"/>
          <w:color w:val="1A1A1A"/>
          <w:sz w:val="21"/>
        </w:rPr>
        <w:t>锁定光源器件产能=锁定 CPO 商用拐点。英伟达有望在 GTC 公开新 CPO 方案，将 CPO 规模部署提前至2026—2027年，抢占下一代算力竞争制高点。</w:t>
      </w:r>
    </w:p>
    <w:p>
      <w:pPr>
        <w:keepNext/>
        <w:spacing w:before="200" w:after="80"/>
      </w:pPr>
      <w:r>
        <w:rPr>
          <w:rFonts w:ascii="微软雅黑" w:hAnsi="微软雅黑" w:eastAsia="微软雅黑"/>
          <w:b/>
          <w:color w:val="76B900"/>
          <w:sz w:val="25"/>
        </w:rPr>
        <w:t xml:space="preserve">7.2  </w:t>
      </w:r>
      <w:r>
        <w:rPr>
          <w:rFonts w:ascii="微软雅黑" w:hAnsi="微软雅黑" w:eastAsia="微软雅黑"/>
          <w:b/>
          <w:color w:val="1A1A1A"/>
          <w:sz w:val="25"/>
        </w:rPr>
        <w:t>风险与不确定性</w:t>
      </w:r>
    </w:p>
    <w:p>
      <w:pPr>
        <w:keepNext/>
        <w:spacing w:before="140" w:after="60"/>
      </w:pPr>
      <w:r>
        <w:rPr>
          <w:rFonts w:ascii="微软雅黑" w:hAnsi="微软雅黑" w:eastAsia="微软雅黑"/>
          <w:b/>
          <w:color w:val="0B5A8C"/>
          <w:sz w:val="22"/>
        </w:rPr>
        <w:t>◆ 风险一：技术与量产成熟度</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成熟度：</w:t>
      </w:r>
      <w:r>
        <w:rPr>
          <w:rFonts w:ascii="微软雅黑" w:hAnsi="微软雅黑" w:eastAsia="微软雅黑"/>
          <w:color w:val="1A1A1A"/>
          <w:sz w:val="21"/>
        </w:rPr>
        <w:t>CPO 至今未在与大规模采用相称的产量下生产；博通此前出货量极低，供应链不成熟、可靠性数据缺乏，客户对采用仍持谨慎态度。</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工艺风险：</w:t>
      </w:r>
      <w:r>
        <w:rPr>
          <w:rFonts w:ascii="微软雅黑" w:hAnsi="微软雅黑" w:eastAsia="微软雅黑"/>
          <w:color w:val="1A1A1A"/>
          <w:sz w:val="21"/>
        </w:rPr>
        <w:t>MRM 是冒技术风险的选择，硅光产品高度定制化，缺乏可复用 PDK/ADK，3D堆叠、异质集成等关键工艺节点仍存挑战。</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产能风险：</w:t>
      </w:r>
      <w:r>
        <w:rPr>
          <w:rFonts w:ascii="微软雅黑" w:hAnsi="微软雅黑" w:eastAsia="微软雅黑"/>
          <w:color w:val="1A1A1A"/>
          <w:sz w:val="21"/>
        </w:rPr>
        <w:t>若 TSMC COUPE 量产不及预期，英伟达 Spectrum-X（2026H2）与博通 TH6-Davisson 时间表将受影响。</w:t>
      </w:r>
    </w:p>
    <w:p>
      <w:pPr>
        <w:keepNext/>
        <w:spacing w:before="140" w:after="60"/>
      </w:pPr>
      <w:r>
        <w:rPr>
          <w:rFonts w:ascii="微软雅黑" w:hAnsi="微软雅黑" w:eastAsia="微软雅黑"/>
          <w:b/>
          <w:color w:val="0B5A8C"/>
          <w:sz w:val="22"/>
        </w:rPr>
        <w:t>◆ 风险二：CPO 与可插拔的共存</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短期冲击有限：</w:t>
      </w:r>
      <w:r>
        <w:rPr>
          <w:rFonts w:ascii="微软雅黑" w:hAnsi="微软雅黑" w:eastAsia="微软雅黑"/>
          <w:color w:val="1A1A1A"/>
          <w:sz w:val="21"/>
        </w:rPr>
        <w:t>LightCounting 指出 Quantum-X Photonics 甚至未出现在英伟达路线图，首批 CPO 部署可能仅限英伟达内部集群，对收发器需求冲击有限。</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共存论：</w:t>
      </w:r>
      <w:r>
        <w:rPr>
          <w:rFonts w:ascii="微软雅黑" w:hAnsi="微软雅黑" w:eastAsia="微软雅黑"/>
          <w:color w:val="1A1A1A"/>
          <w:sz w:val="21"/>
        </w:rPr>
        <w:t>博通 Tomahawk 6 同时提供 CPO 与可插拔版本，认为短期共存；Coherent CEO 亦表示可插拔在 Scale-out/DCI 仍将主导未来十年。</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替代时点：</w:t>
      </w:r>
      <w:r>
        <w:rPr>
          <w:rFonts w:ascii="微软雅黑" w:hAnsi="微软雅黑" w:eastAsia="微软雅黑"/>
          <w:color w:val="1A1A1A"/>
          <w:sz w:val="21"/>
        </w:rPr>
        <w:t>CPO 真正大规模替代可插拔预计在2027—2028年后，此前可插拔市场窗口仍宽。</w:t>
      </w:r>
    </w:p>
    <w:p>
      <w:pPr>
        <w:keepNext/>
        <w:spacing w:before="140" w:after="60"/>
      </w:pPr>
      <w:r>
        <w:rPr>
          <w:rFonts w:ascii="微软雅黑" w:hAnsi="微软雅黑" w:eastAsia="微软雅黑"/>
          <w:b/>
          <w:color w:val="0B5A8C"/>
          <w:sz w:val="22"/>
        </w:rPr>
        <w:t>◆ 风险三：资本开支与周期</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周期风险：</w:t>
      </w:r>
      <w:r>
        <w:rPr>
          <w:rFonts w:ascii="微软雅黑" w:hAnsi="微软雅黑" w:eastAsia="微软雅黑"/>
          <w:color w:val="1A1A1A"/>
          <w:sz w:val="21"/>
        </w:rPr>
        <w:t>LightCounting 警示2026年capex增速70%可能在2027骤降至30%，AI热潮回落将冲击光模块需求；当前“疯狂氛围”类似2000—2001年，双重下单一旦反转将致库存堆积。</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价格与需求：</w:t>
      </w:r>
      <w:r>
        <w:rPr>
          <w:rFonts w:ascii="微软雅黑" w:hAnsi="微软雅黑" w:eastAsia="微软雅黑"/>
          <w:color w:val="1A1A1A"/>
          <w:sz w:val="21"/>
        </w:rPr>
        <w:t>中国内部 ASP 加速下行，AI 资本开支若不及预期，800G/1.6T 需求可能阶段性放缓。</w:t>
      </w:r>
    </w:p>
    <w:p>
      <w:pPr>
        <w:keepNext/>
        <w:spacing w:before="140" w:after="60"/>
      </w:pPr>
      <w:r>
        <w:rPr>
          <w:rFonts w:ascii="微软雅黑" w:hAnsi="微软雅黑" w:eastAsia="微软雅黑"/>
          <w:b/>
          <w:color w:val="0B5A8C"/>
          <w:sz w:val="22"/>
        </w:rPr>
        <w:t>◆ 风险四：地缘与出口管制</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管制风险：</w:t>
      </w:r>
      <w:r>
        <w:rPr>
          <w:rFonts w:ascii="微软雅黑" w:hAnsi="微软雅黑" w:eastAsia="微软雅黑"/>
          <w:color w:val="1A1A1A"/>
          <w:sz w:val="21"/>
        </w:rPr>
        <w:t>若出口管制延伸至 InP 衬底与 EML 芯片，中国光芯片国产化进度将直接受考验，亦可能影响全球供应链分工。</w:t>
      </w:r>
    </w:p>
    <w:p>
      <w:pPr>
        <w:spacing w:after="60" w:line="300" w:lineRule="auto"/>
        <w:ind w:left="400" w:hanging="240"/>
      </w:pPr>
      <w:r>
        <w:rPr>
          <w:rFonts w:ascii="微软雅黑" w:hAnsi="微软雅黑" w:eastAsia="微软雅黑"/>
          <w:b/>
          <w:color w:val="76B900"/>
          <w:sz w:val="21"/>
        </w:rPr>
        <w:t xml:space="preserve">•  </w:t>
      </w:r>
      <w:r>
        <w:rPr>
          <w:rFonts w:ascii="微软雅黑" w:hAnsi="微软雅黑" w:eastAsia="微软雅黑"/>
          <w:b/>
          <w:color w:val="1A1A1A"/>
          <w:sz w:val="21"/>
        </w:rPr>
        <w:t>连锁效应：</w:t>
      </w:r>
      <w:r>
        <w:rPr>
          <w:rFonts w:ascii="微软雅黑" w:hAnsi="微软雅黑" w:eastAsia="微软雅黑"/>
          <w:color w:val="1A1A1A"/>
          <w:sz w:val="21"/>
        </w:rPr>
        <w:t>Lumentum 与 Coherent 是中国光模块厂重要 InP/EML 来源，管制升级将重塑全球 CPO 产业链格局。</w:t>
      </w:r>
    </w:p>
    <w:p>
      <w:pPr>
        <w:keepNext/>
        <w:spacing w:before="200" w:after="80"/>
      </w:pPr>
      <w:r>
        <w:rPr>
          <w:rFonts w:ascii="微软雅黑" w:hAnsi="微软雅黑" w:eastAsia="微软雅黑"/>
          <w:b/>
          <w:color w:val="76B900"/>
          <w:sz w:val="25"/>
        </w:rPr>
        <w:t xml:space="preserve">7.3  </w:t>
      </w:r>
      <w:r>
        <w:rPr>
          <w:rFonts w:ascii="微软雅黑" w:hAnsi="微软雅黑" w:eastAsia="微软雅黑"/>
          <w:b/>
          <w:color w:val="1A1A1A"/>
          <w:sz w:val="25"/>
        </w:rPr>
        <w:t>结论</w:t>
      </w:r>
    </w:p>
    <w:p>
      <w:pPr>
        <w:spacing w:after="120" w:before="0" w:line="312" w:lineRule="auto"/>
        <w:ind w:firstLine="420"/>
      </w:pPr>
      <w:r>
        <w:rPr>
          <w:rFonts w:ascii="微软雅黑" w:hAnsi="微软雅黑" w:eastAsia="微软雅黑"/>
          <w:b w:val="0"/>
          <w:i w:val="0"/>
          <w:color w:val="1A1A1A"/>
          <w:sz w:val="21"/>
        </w:rPr>
        <w:t>英伟达40亿美元投资 Lumentum 与 Coherent，本质是为 AI 算力“修高速、建底座”的战略布局。它不是孤立的财务行为，而是英伟达在 GPU/CUDA/InfiniBand/NVLink 软硬件生态之外，对“光”这一下一代互连介质进行的系统性供应链与标准话语权锁定。</w:t>
      </w:r>
    </w:p>
    <w:p>
      <w:pPr>
        <w:spacing w:after="120" w:before="0" w:line="312" w:lineRule="auto"/>
        <w:ind w:firstLine="420"/>
      </w:pPr>
      <w:r>
        <w:rPr>
          <w:rFonts w:ascii="微软雅黑" w:hAnsi="微软雅黑" w:eastAsia="微软雅黑"/>
          <w:b w:val="0"/>
          <w:i w:val="0"/>
          <w:color w:val="1A1A1A"/>
          <w:sz w:val="21"/>
        </w:rPr>
        <w:t>从产业视角看，这一投资印证了 Yole Group 的判断——“AI 基础设施的下一个瓶颈将不再是算力，而是互连”。CPO 作为光互连形态演进的终点，正从实验室走向大规模商用的拐点：英伟达与博通的 Scale-out CPO 将于2026—2027年规模部署，Scale-up 光互连（NVLink over Fiber）预计在2028年前后随 Feynman 代际引入。</w:t>
      </w:r>
    </w:p>
    <w:p>
      <w:pPr>
        <w:spacing w:after="120" w:before="0" w:line="312" w:lineRule="auto"/>
        <w:ind w:firstLine="420"/>
      </w:pPr>
      <w:r>
        <w:rPr>
          <w:rFonts w:ascii="微软雅黑" w:hAnsi="微软雅黑" w:eastAsia="微软雅黑"/>
          <w:b w:val="0"/>
          <w:i w:val="0"/>
          <w:color w:val="1A1A1A"/>
          <w:sz w:val="21"/>
        </w:rPr>
        <w:t>对中国产业链而言，中游光模块环节的全球主导地位已确立，但上游 InP 衬底与高端 EML 是下一场国产替代战役的焦点。源杰科技、长光华芯等光芯片企业承担的国产替代压力与机会同等巨大；在 CPO 标准与产能博弈中，谁掌握 InP 光源与硅光代工，谁就掌握下一代 AI 算力基础设施的关键卡位。</w:t>
      </w:r>
    </w:p>
    <w:tbl>
      <w:tblPr>
        <w:tblW w:type="auto" w:w="0"/>
        <w:jc w:val="center"/>
        <w:tblLook w:firstColumn="1" w:firstRow="1" w:lastColumn="0" w:lastRow="0" w:noHBand="0" w:noVBand="1" w:val="04A0"/>
      </w:tblPr>
      <w:tblGrid>
        <w:gridCol w:w="9406"/>
      </w:tblGrid>
      <w:tr>
        <w:tc>
          <w:tcPr>
            <w:tcW w:type="dxa" w:w="9071"/>
            <w:shd w:val="clear" w:color="auto" w:fill="EEF3F8"/>
            <w:tcBorders>
              <w:left w:val="single" w:sz="24" w:color="0B5A8C"/>
              <w:top w:val="nil"/>
              <w:bottom w:val="nil"/>
              <w:right w:val="nil"/>
            </w:tcBorders>
          </w:tcPr>
          <w:p>
            <w:pPr>
              <w:spacing w:before="80" w:after="80" w:line="300" w:lineRule="auto"/>
            </w:pPr>
            <w:r>
              <w:rPr>
                <w:rFonts w:ascii="微软雅黑" w:hAnsi="微软雅黑" w:eastAsia="微软雅黑"/>
                <w:i/>
                <w:color w:val="333333"/>
                <w:sz w:val="21"/>
              </w:rPr>
              <w:t>AI has reinvented computing and is driving the largest computing infrastructure buildout in history… Together with Lumentum, NVIDIA is advancing the world's most sophisticated silicon photonics to build the next generation of gigawatt-scale AI factories.</w:t>
            </w:r>
          </w:p>
          <w:p>
            <w:pPr>
              <w:spacing w:after="40"/>
              <w:jc w:val="right"/>
            </w:pPr>
            <w:r>
              <w:rPr>
                <w:rFonts w:ascii="微软雅黑" w:hAnsi="微软雅黑" w:eastAsia="微软雅黑"/>
                <w:color w:val="555555"/>
                <w:sz w:val="18"/>
              </w:rPr>
              <w:t>— 黄仁勋，英伟达创始人兼 CEO</w:t>
            </w:r>
          </w:p>
        </w:tc>
      </w:tr>
    </w:tbl>
    <w:p>
      <w:pPr>
        <w:spacing w:after="40"/>
      </w:pPr>
    </w:p>
    <w:p>
      <w:r>
        <w:br w:type="page"/>
      </w:r>
    </w:p>
    <w:p>
      <w:pPr>
        <w:keepNext/>
        <w:spacing w:before="320" w:after="160"/>
        <w:pBdr>
          <w:bottom w:val="single" w:sz="8" w:space="4" w:color="76B900"/>
        </w:pBdr>
      </w:pPr>
      <w:r>
        <w:rPr>
          <w:rFonts w:ascii="微软雅黑" w:hAnsi="微软雅黑" w:eastAsia="微软雅黑"/>
          <w:b/>
          <w:color w:val="76B900"/>
          <w:sz w:val="30"/>
        </w:rPr>
        <w:t xml:space="preserve">■ </w:t>
      </w:r>
      <w:r>
        <w:rPr>
          <w:rFonts w:ascii="微软雅黑" w:hAnsi="微软雅黑" w:eastAsia="微软雅黑"/>
          <w:b/>
          <w:color w:val="0B5A8C"/>
          <w:sz w:val="30"/>
        </w:rPr>
        <w:t xml:space="preserve">参考文献  </w:t>
      </w:r>
      <w:r>
        <w:rPr>
          <w:rFonts w:ascii="微软雅黑" w:hAnsi="微软雅黑" w:eastAsia="微软雅黑"/>
          <w:b/>
          <w:color w:val="1A1A1A"/>
          <w:sz w:val="30"/>
        </w:rPr>
        <w:t>与资料溯源</w:t>
      </w:r>
    </w:p>
    <w:p>
      <w:pPr>
        <w:spacing w:after="120" w:before="0" w:line="312" w:lineRule="auto"/>
        <w:ind w:firstLine="420"/>
      </w:pPr>
      <w:r>
        <w:rPr>
          <w:rFonts w:ascii="微软雅黑" w:hAnsi="微软雅黑" w:eastAsia="微软雅黑"/>
          <w:b w:val="0"/>
          <w:i w:val="0"/>
          <w:color w:val="1A1A1A"/>
          <w:sz w:val="21"/>
        </w:rPr>
        <w:t>本报告关键数据与论断来源如下，按主题归类标注：</w:t>
      </w:r>
    </w:p>
    <w:p>
      <w:pPr>
        <w:spacing w:after="40" w:line="288" w:lineRule="auto"/>
        <w:ind w:left="480" w:hanging="480"/>
      </w:pPr>
      <w:r>
        <w:rPr>
          <w:rFonts w:ascii="微软雅黑" w:hAnsi="微软雅黑" w:eastAsia="微软雅黑"/>
          <w:b/>
          <w:color w:val="76B900"/>
          <w:sz w:val="18"/>
        </w:rPr>
        <w:t xml:space="preserve">[1] </w:t>
      </w:r>
      <w:r>
        <w:rPr>
          <w:rFonts w:ascii="微软雅黑" w:hAnsi="微软雅黑" w:eastAsia="微软雅黑"/>
          <w:color w:val="1A1A1A"/>
          <w:sz w:val="18"/>
        </w:rPr>
        <w:t>NVIDIA. NVIDIA Announces Strategic Partnership With Lumentum to Develop State-of-the-Art Optics Technology（新闻稿）. 2026-03-02.</w:t>
      </w:r>
      <w:r>
        <w:rPr>
          <w:rFonts w:ascii="微软雅黑" w:hAnsi="微软雅黑" w:eastAsia="微软雅黑"/>
          <w:i/>
          <w:color w:val="555555"/>
          <w:sz w:val="16"/>
        </w:rPr>
        <w:t xml:space="preserve">  https://investor.nvidia.com/news/press-release-details/2026/NVIDIA-Announces-Strategic-Partnership-With-Lumentum-to-Develop-State-of-the-Art-Optics-Technology/default.aspx</w:t>
      </w:r>
    </w:p>
    <w:p>
      <w:pPr>
        <w:spacing w:after="40" w:line="288" w:lineRule="auto"/>
        <w:ind w:left="480" w:hanging="480"/>
      </w:pPr>
      <w:r>
        <w:rPr>
          <w:rFonts w:ascii="微软雅黑" w:hAnsi="微软雅黑" w:eastAsia="微软雅黑"/>
          <w:b/>
          <w:color w:val="76B900"/>
          <w:sz w:val="18"/>
        </w:rPr>
        <w:t xml:space="preserve">[2] </w:t>
      </w:r>
      <w:r>
        <w:rPr>
          <w:rFonts w:ascii="微软雅黑" w:hAnsi="微软雅黑" w:eastAsia="微软雅黑"/>
          <w:color w:val="1A1A1A"/>
          <w:sz w:val="18"/>
        </w:rPr>
        <w:t>NVIDIA. NVIDIA and Coherent Announce Strategic Partnership to Develop Optics Technology to Scale Next-Generation Data Center Architecture（新闻稿）. 2026-03-02.</w:t>
      </w:r>
      <w:r>
        <w:rPr>
          <w:rFonts w:ascii="微软雅黑" w:hAnsi="微软雅黑" w:eastAsia="微软雅黑"/>
          <w:i/>
          <w:color w:val="555555"/>
          <w:sz w:val="16"/>
        </w:rPr>
        <w:t xml:space="preserve">  https://nvidianews.nvidia.com/news/nvidia-and-coherent-announce-strategic-partnership-to-develop-optics-technology-to-scale-next-generation-data-center-architecture</w:t>
      </w:r>
    </w:p>
    <w:p>
      <w:pPr>
        <w:spacing w:after="40" w:line="288" w:lineRule="auto"/>
        <w:ind w:left="480" w:hanging="480"/>
      </w:pPr>
      <w:r>
        <w:rPr>
          <w:rFonts w:ascii="微软雅黑" w:hAnsi="微软雅黑" w:eastAsia="微软雅黑"/>
          <w:b/>
          <w:color w:val="76B900"/>
          <w:sz w:val="18"/>
        </w:rPr>
        <w:t xml:space="preserve">[3] </w:t>
      </w:r>
      <w:r>
        <w:rPr>
          <w:rFonts w:ascii="微软雅黑" w:hAnsi="微软雅黑" w:eastAsia="微软雅黑"/>
          <w:color w:val="1A1A1A"/>
          <w:sz w:val="18"/>
        </w:rPr>
        <w:t>Reuters. Nvidia to invest $2 billion each in Lumentum, Coherent to bolster AI processors. 2026-03-02.</w:t>
      </w:r>
      <w:r>
        <w:rPr>
          <w:rFonts w:ascii="微软雅黑" w:hAnsi="微软雅黑" w:eastAsia="微软雅黑"/>
          <w:i/>
          <w:color w:val="555555"/>
          <w:sz w:val="16"/>
        </w:rPr>
        <w:t xml:space="preserve">  https://www.reuters.com/technology/nvidia-invest-2-billion-photonic-product-maker-lumentum-2026-03-02/</w:t>
      </w:r>
    </w:p>
    <w:p>
      <w:pPr>
        <w:spacing w:after="40" w:line="288" w:lineRule="auto"/>
        <w:ind w:left="480" w:hanging="480"/>
      </w:pPr>
      <w:r>
        <w:rPr>
          <w:rFonts w:ascii="微软雅黑" w:hAnsi="微软雅黑" w:eastAsia="微软雅黑"/>
          <w:b/>
          <w:color w:val="76B900"/>
          <w:sz w:val="18"/>
        </w:rPr>
        <w:t xml:space="preserve">[4] </w:t>
      </w:r>
      <w:r>
        <w:rPr>
          <w:rFonts w:ascii="微软雅黑" w:hAnsi="微软雅黑" w:eastAsia="微软雅黑"/>
          <w:color w:val="1A1A1A"/>
          <w:sz w:val="18"/>
        </w:rPr>
        <w:t>Bloomberg. Nvidia to Invest $4 Billion in Data Center Optics Companies. 2026-03-02.</w:t>
      </w:r>
      <w:r>
        <w:rPr>
          <w:rFonts w:ascii="微软雅黑" w:hAnsi="微软雅黑" w:eastAsia="微软雅黑"/>
          <w:i/>
          <w:color w:val="555555"/>
          <w:sz w:val="16"/>
        </w:rPr>
        <w:t xml:space="preserve">  https://www.bloomberg.com/news/articles/2026-03-02/nvidia-to-invest-4-billion-in-data-center-optics-companies</w:t>
      </w:r>
    </w:p>
    <w:p>
      <w:pPr>
        <w:spacing w:after="40" w:line="288" w:lineRule="auto"/>
        <w:ind w:left="480" w:hanging="480"/>
      </w:pPr>
      <w:r>
        <w:rPr>
          <w:rFonts w:ascii="微软雅黑" w:hAnsi="微软雅黑" w:eastAsia="微软雅黑"/>
          <w:b/>
          <w:color w:val="76B900"/>
          <w:sz w:val="18"/>
        </w:rPr>
        <w:t xml:space="preserve">[5] </w:t>
      </w:r>
      <w:r>
        <w:rPr>
          <w:rFonts w:ascii="微软雅黑" w:hAnsi="微软雅黑" w:eastAsia="微软雅黑"/>
          <w:color w:val="1A1A1A"/>
          <w:sz w:val="18"/>
        </w:rPr>
        <w:t>CNBC. Nvidia to invest $4B into photonics companies Coherent, Lumentum. 2026-03-02.</w:t>
      </w:r>
      <w:r>
        <w:rPr>
          <w:rFonts w:ascii="微软雅黑" w:hAnsi="微软雅黑" w:eastAsia="微软雅黑"/>
          <w:i/>
          <w:color w:val="555555"/>
          <w:sz w:val="16"/>
        </w:rPr>
        <w:t xml:space="preserve">  https://www.cnbc.com/2026/03/02/nvidia-investment-coherent-lumentum.html</w:t>
      </w:r>
    </w:p>
    <w:p>
      <w:pPr>
        <w:spacing w:after="40" w:line="288" w:lineRule="auto"/>
        <w:ind w:left="480" w:hanging="480"/>
      </w:pPr>
      <w:r>
        <w:rPr>
          <w:rFonts w:ascii="微软雅黑" w:hAnsi="微软雅黑" w:eastAsia="微软雅黑"/>
          <w:b/>
          <w:color w:val="76B900"/>
          <w:sz w:val="18"/>
        </w:rPr>
        <w:t xml:space="preserve">[6] </w:t>
      </w:r>
      <w:r>
        <w:rPr>
          <w:rFonts w:ascii="微软雅黑" w:hAnsi="微软雅黑" w:eastAsia="微软雅黑"/>
          <w:color w:val="1A1A1A"/>
          <w:sz w:val="18"/>
        </w:rPr>
        <w:t>SiliconANGLE. Nvidia invests $4B in co-packaged optics suppliers Lumentum, Coherent. 2026-03-02.</w:t>
      </w:r>
      <w:r>
        <w:rPr>
          <w:rFonts w:ascii="微软雅黑" w:hAnsi="微软雅黑" w:eastAsia="微软雅黑"/>
          <w:i/>
          <w:color w:val="555555"/>
          <w:sz w:val="16"/>
        </w:rPr>
        <w:t xml:space="preserve">  https://siliconangle.com/2026/03/02/nvidia-invests-4b-co-packaged-optics-suppliers-lumentum-coherent/</w:t>
      </w:r>
    </w:p>
    <w:p>
      <w:pPr>
        <w:spacing w:after="40" w:line="288" w:lineRule="auto"/>
        <w:ind w:left="480" w:hanging="480"/>
      </w:pPr>
      <w:r>
        <w:rPr>
          <w:rFonts w:ascii="微软雅黑" w:hAnsi="微软雅黑" w:eastAsia="微软雅黑"/>
          <w:b/>
          <w:color w:val="76B900"/>
          <w:sz w:val="18"/>
        </w:rPr>
        <w:t xml:space="preserve">[7] </w:t>
      </w:r>
      <w:r>
        <w:rPr>
          <w:rFonts w:ascii="微软雅黑" w:hAnsi="微软雅黑" w:eastAsia="微软雅黑"/>
          <w:color w:val="1A1A1A"/>
          <w:sz w:val="18"/>
        </w:rPr>
        <w:t>EE Times (Majeed Ahmad). Nvidia's $4B Photonics Venture: What You Need to Know. 2026-03-09.</w:t>
      </w:r>
      <w:r>
        <w:rPr>
          <w:rFonts w:ascii="微软雅黑" w:hAnsi="微软雅黑" w:eastAsia="微软雅黑"/>
          <w:i/>
          <w:color w:val="555555"/>
          <w:sz w:val="16"/>
        </w:rPr>
        <w:t xml:space="preserve">  https://www.eetimes.com/nvidias-4b-photonics-venture-what-you-need-to-know/</w:t>
      </w:r>
    </w:p>
    <w:p>
      <w:pPr>
        <w:spacing w:after="40" w:line="288" w:lineRule="auto"/>
        <w:ind w:left="480" w:hanging="480"/>
      </w:pPr>
      <w:r>
        <w:rPr>
          <w:rFonts w:ascii="微软雅黑" w:hAnsi="微软雅黑" w:eastAsia="微软雅黑"/>
          <w:b/>
          <w:color w:val="76B900"/>
          <w:sz w:val="18"/>
        </w:rPr>
        <w:t xml:space="preserve">[8] </w:t>
      </w:r>
      <w:r>
        <w:rPr>
          <w:rFonts w:ascii="微软雅黑" w:hAnsi="微软雅黑" w:eastAsia="微软雅黑"/>
          <w:color w:val="1A1A1A"/>
          <w:sz w:val="18"/>
        </w:rPr>
        <w:t>NextPlatform (Timothy Prickett Morgan). Nvidia Sees The Light On Silicon Photonics And Maybe Optical Switching. 2026-03-02.</w:t>
      </w:r>
      <w:r>
        <w:rPr>
          <w:rFonts w:ascii="微软雅黑" w:hAnsi="微软雅黑" w:eastAsia="微软雅黑"/>
          <w:i/>
          <w:color w:val="555555"/>
          <w:sz w:val="16"/>
        </w:rPr>
        <w:t xml:space="preserve">  https://www.nextplatform.com/connect/2026/03/02/nvidia-sees-the-light-on-silicon-photonics-and-maybe-optical-switching/4093099</w:t>
      </w:r>
    </w:p>
    <w:p>
      <w:pPr>
        <w:spacing w:after="40" w:line="288" w:lineRule="auto"/>
        <w:ind w:left="480" w:hanging="480"/>
      </w:pPr>
      <w:r>
        <w:rPr>
          <w:rFonts w:ascii="微软雅黑" w:hAnsi="微软雅黑" w:eastAsia="微软雅黑"/>
          <w:b/>
          <w:color w:val="76B900"/>
          <w:sz w:val="18"/>
        </w:rPr>
        <w:t xml:space="preserve">[9] </w:t>
      </w:r>
      <w:r>
        <w:rPr>
          <w:rFonts w:ascii="微软雅黑" w:hAnsi="微软雅黑" w:eastAsia="微软雅黑"/>
          <w:color w:val="1A1A1A"/>
          <w:sz w:val="18"/>
        </w:rPr>
        <w:t>Lightwave Online (Sean Buckley). NVIDIA's $4B investment in Coherent and Lumentum reflects AI scale needs. 2026-03-05.</w:t>
      </w:r>
      <w:r>
        <w:rPr>
          <w:rFonts w:ascii="微软雅黑" w:hAnsi="微软雅黑" w:eastAsia="微软雅黑"/>
          <w:i/>
          <w:color w:val="555555"/>
          <w:sz w:val="16"/>
        </w:rPr>
        <w:t xml:space="preserve">  https://www.lightwaveonline.com/home/article/55362197/nvidias-4b-investment-in-coherent-and-lumentum-reflects-ai-scale-needs</w:t>
      </w:r>
    </w:p>
    <w:p>
      <w:pPr>
        <w:spacing w:after="40" w:line="288" w:lineRule="auto"/>
        <w:ind w:left="480" w:hanging="480"/>
      </w:pPr>
      <w:r>
        <w:rPr>
          <w:rFonts w:ascii="微软雅黑" w:hAnsi="微软雅黑" w:eastAsia="微软雅黑"/>
          <w:b/>
          <w:color w:val="76B900"/>
          <w:sz w:val="18"/>
        </w:rPr>
        <w:t xml:space="preserve">[10] </w:t>
      </w:r>
      <w:r>
        <w:rPr>
          <w:rFonts w:ascii="微软雅黑" w:hAnsi="微软雅黑" w:eastAsia="微软雅黑"/>
          <w:color w:val="1A1A1A"/>
          <w:sz w:val="18"/>
        </w:rPr>
        <w:t>华尔街见闻. 为发布CPO新方案铺路？英伟达重金押注光互联，意在构建CPO“供应保护”. 2026-03-03.</w:t>
      </w:r>
      <w:r>
        <w:rPr>
          <w:rFonts w:ascii="微软雅黑" w:hAnsi="微软雅黑" w:eastAsia="微软雅黑"/>
          <w:i/>
          <w:color w:val="555555"/>
          <w:sz w:val="16"/>
        </w:rPr>
        <w:t xml:space="preserve">  https://wallstreetcn.com/articles/3766586</w:t>
      </w:r>
    </w:p>
    <w:p>
      <w:pPr>
        <w:spacing w:after="40" w:line="288" w:lineRule="auto"/>
        <w:ind w:left="480" w:hanging="480"/>
      </w:pPr>
      <w:r>
        <w:rPr>
          <w:rFonts w:ascii="微软雅黑" w:hAnsi="微软雅黑" w:eastAsia="微软雅黑"/>
          <w:b/>
          <w:color w:val="76B900"/>
          <w:sz w:val="18"/>
        </w:rPr>
        <w:t xml:space="preserve">[11] </w:t>
      </w:r>
      <w:r>
        <w:rPr>
          <w:rFonts w:ascii="微软雅黑" w:hAnsi="微软雅黑" w:eastAsia="微软雅黑"/>
          <w:color w:val="1A1A1A"/>
          <w:sz w:val="18"/>
        </w:rPr>
        <w:t>21世纪经济报道. 英伟达40亿美元重注CPO，商用拐点临近？. 2026-03-04.</w:t>
      </w:r>
      <w:r>
        <w:rPr>
          <w:rFonts w:ascii="微软雅黑" w:hAnsi="微软雅黑" w:eastAsia="微软雅黑"/>
          <w:i/>
          <w:color w:val="555555"/>
          <w:sz w:val="16"/>
        </w:rPr>
        <w:t xml:space="preserve">  https://www.21jingji.com/article/20260304/herald/e70c11dc4c18bfbfb46d7461ec309996.html</w:t>
      </w:r>
    </w:p>
    <w:p>
      <w:pPr>
        <w:spacing w:after="40" w:line="288" w:lineRule="auto"/>
        <w:ind w:left="480" w:hanging="480"/>
      </w:pPr>
      <w:r>
        <w:rPr>
          <w:rFonts w:ascii="微软雅黑" w:hAnsi="微软雅黑" w:eastAsia="微软雅黑"/>
          <w:b/>
          <w:color w:val="76B900"/>
          <w:sz w:val="18"/>
        </w:rPr>
        <w:t xml:space="preserve">[12] </w:t>
      </w:r>
      <w:r>
        <w:rPr>
          <w:rFonts w:ascii="微软雅黑" w:hAnsi="微软雅黑" w:eastAsia="微软雅黑"/>
          <w:color w:val="1A1A1A"/>
          <w:sz w:val="18"/>
        </w:rPr>
        <w:t>国际电子商情. 押注CPO赛道，英伟达40亿美元锁定两大光芯片巨头. 2026-03-03.</w:t>
      </w:r>
      <w:r>
        <w:rPr>
          <w:rFonts w:ascii="微软雅黑" w:hAnsi="微软雅黑" w:eastAsia="微软雅黑"/>
          <w:i/>
          <w:color w:val="555555"/>
          <w:sz w:val="16"/>
        </w:rPr>
        <w:t xml:space="preserve">  https://www.esmchina.com/news/13962.html</w:t>
      </w:r>
    </w:p>
    <w:p>
      <w:pPr>
        <w:spacing w:after="40" w:line="288" w:lineRule="auto"/>
        <w:ind w:left="480" w:hanging="480"/>
      </w:pPr>
      <w:r>
        <w:rPr>
          <w:rFonts w:ascii="微软雅黑" w:hAnsi="微软雅黑" w:eastAsia="微软雅黑"/>
          <w:b/>
          <w:color w:val="76B900"/>
          <w:sz w:val="18"/>
        </w:rPr>
        <w:t xml:space="preserve">[13] </w:t>
      </w:r>
      <w:r>
        <w:rPr>
          <w:rFonts w:ascii="微软雅黑" w:hAnsi="微软雅黑" w:eastAsia="微软雅黑"/>
          <w:color w:val="1A1A1A"/>
          <w:sz w:val="18"/>
        </w:rPr>
        <w:t>新浪科技. 40亿美元砸向光互连 英伟达最看重这两样东西. 2026-03-11.</w:t>
      </w:r>
      <w:r>
        <w:rPr>
          <w:rFonts w:ascii="微软雅黑" w:hAnsi="微软雅黑" w:eastAsia="微软雅黑"/>
          <w:i/>
          <w:color w:val="555555"/>
          <w:sz w:val="16"/>
        </w:rPr>
        <w:t xml:space="preserve">  https://finance.sina.com.cn/tech/roll/2026-03-11/doc-inhqrfck5568118.shtml</w:t>
      </w:r>
    </w:p>
    <w:p>
      <w:pPr>
        <w:spacing w:after="40" w:line="288" w:lineRule="auto"/>
        <w:ind w:left="480" w:hanging="480"/>
      </w:pPr>
      <w:r>
        <w:rPr>
          <w:rFonts w:ascii="微软雅黑" w:hAnsi="微软雅黑" w:eastAsia="微软雅黑"/>
          <w:b/>
          <w:color w:val="76B900"/>
          <w:sz w:val="18"/>
        </w:rPr>
        <w:t xml:space="preserve">[14] </w:t>
      </w:r>
      <w:r>
        <w:rPr>
          <w:rFonts w:ascii="微软雅黑" w:hAnsi="微软雅黑" w:eastAsia="微软雅黑"/>
          <w:color w:val="1A1A1A"/>
          <w:sz w:val="18"/>
        </w:rPr>
        <w:t>NVIDIA Newsroom. NVIDIA Announces Spectrum-X Photonics, Co-Packaged Optics Networking Switches（GTC 2025）. 2025-03-18.</w:t>
      </w:r>
      <w:r>
        <w:rPr>
          <w:rFonts w:ascii="微软雅黑" w:hAnsi="微软雅黑" w:eastAsia="微软雅黑"/>
          <w:i/>
          <w:color w:val="555555"/>
          <w:sz w:val="16"/>
        </w:rPr>
        <w:t xml:space="preserve">  https://nvidianews.nvidia.com/news/nvidia-spectrum-x-co-packaged-optics-networking-switches-ai-factories</w:t>
      </w:r>
    </w:p>
    <w:p>
      <w:pPr>
        <w:spacing w:after="40" w:line="288" w:lineRule="auto"/>
        <w:ind w:left="480" w:hanging="480"/>
      </w:pPr>
      <w:r>
        <w:rPr>
          <w:rFonts w:ascii="微软雅黑" w:hAnsi="微软雅黑" w:eastAsia="微软雅黑"/>
          <w:b/>
          <w:color w:val="76B900"/>
          <w:sz w:val="18"/>
        </w:rPr>
        <w:t xml:space="preserve">[15] </w:t>
      </w:r>
      <w:r>
        <w:rPr>
          <w:rFonts w:ascii="微软雅黑" w:hAnsi="微软雅黑" w:eastAsia="微软雅黑"/>
          <w:color w:val="1A1A1A"/>
          <w:sz w:val="18"/>
        </w:rPr>
        <w:t>NVIDIA Technical Blog (Ashkan Seyedi). Scaling AI Factories with Co-Packaged Optics for Better Power Efficiency. 2025-08-18.</w:t>
      </w:r>
      <w:r>
        <w:rPr>
          <w:rFonts w:ascii="微软雅黑" w:hAnsi="微软雅黑" w:eastAsia="微软雅黑"/>
          <w:i/>
          <w:color w:val="555555"/>
          <w:sz w:val="16"/>
        </w:rPr>
        <w:t xml:space="preserve">  https://developer.nvidia.com/blog/scaling-ai-factories-with-co-packaged-optics-for-better-power-efficiency/</w:t>
      </w:r>
    </w:p>
    <w:p>
      <w:pPr>
        <w:spacing w:after="40" w:line="288" w:lineRule="auto"/>
        <w:ind w:left="480" w:hanging="480"/>
      </w:pPr>
      <w:r>
        <w:rPr>
          <w:rFonts w:ascii="微软雅黑" w:hAnsi="微软雅黑" w:eastAsia="微软雅黑"/>
          <w:b/>
          <w:color w:val="76B900"/>
          <w:sz w:val="18"/>
        </w:rPr>
        <w:t xml:space="preserve">[16] </w:t>
      </w:r>
      <w:r>
        <w:rPr>
          <w:rFonts w:ascii="微软雅黑" w:hAnsi="微软雅黑" w:eastAsia="微软雅黑"/>
          <w:color w:val="1A1A1A"/>
          <w:sz w:val="18"/>
        </w:rPr>
        <w:t>NextPlatform. Nvidia Weaves Silicon Photonics Into InfiniBand And Ethernet. 2025-03-18.</w:t>
      </w:r>
      <w:r>
        <w:rPr>
          <w:rFonts w:ascii="微软雅黑" w:hAnsi="微软雅黑" w:eastAsia="微软雅黑"/>
          <w:i/>
          <w:color w:val="555555"/>
          <w:sz w:val="16"/>
        </w:rPr>
        <w:t xml:space="preserve">  https://www.nextplatform.com/connect/2025/03/18/nvidia-weaves-silicon-photonics-into-infiniband-and-ethernet/1642057</w:t>
      </w:r>
    </w:p>
    <w:p>
      <w:pPr>
        <w:spacing w:after="40" w:line="288" w:lineRule="auto"/>
        <w:ind w:left="480" w:hanging="480"/>
      </w:pPr>
      <w:r>
        <w:rPr>
          <w:rFonts w:ascii="微软雅黑" w:hAnsi="微软雅黑" w:eastAsia="微软雅黑"/>
          <w:b/>
          <w:color w:val="76B900"/>
          <w:sz w:val="18"/>
        </w:rPr>
        <w:t xml:space="preserve">[17] </w:t>
      </w:r>
      <w:r>
        <w:rPr>
          <w:rFonts w:ascii="微软雅黑" w:hAnsi="微软雅黑" w:eastAsia="微软雅黑"/>
          <w:color w:val="1A1A1A"/>
          <w:sz w:val="18"/>
        </w:rPr>
        <w:t>IEEE Spectrum. Nvidia Unveils Game-Changing Optical Network Switch. 2025-03-25.</w:t>
      </w:r>
      <w:r>
        <w:rPr>
          <w:rFonts w:ascii="微软雅黑" w:hAnsi="微软雅黑" w:eastAsia="微软雅黑"/>
          <w:i/>
          <w:color w:val="555555"/>
          <w:sz w:val="16"/>
        </w:rPr>
        <w:t xml:space="preserve">  https://spectrum.ieee.org/co-packaged-optics</w:t>
      </w:r>
    </w:p>
    <w:p>
      <w:pPr>
        <w:spacing w:after="40" w:line="288" w:lineRule="auto"/>
        <w:ind w:left="480" w:hanging="480"/>
      </w:pPr>
      <w:r>
        <w:rPr>
          <w:rFonts w:ascii="微软雅黑" w:hAnsi="微软雅黑" w:eastAsia="微软雅黑"/>
          <w:b/>
          <w:color w:val="76B900"/>
          <w:sz w:val="18"/>
        </w:rPr>
        <w:t xml:space="preserve">[18] </w:t>
      </w:r>
      <w:r>
        <w:rPr>
          <w:rFonts w:ascii="微软雅黑" w:hAnsi="微软雅黑" w:eastAsia="微软雅黑"/>
          <w:color w:val="1A1A1A"/>
          <w:sz w:val="18"/>
        </w:rPr>
        <w:t>optics.org. Nvidia reveals plan to scale AI 'factories' with co-packaged optics.</w:t>
      </w:r>
      <w:r>
        <w:rPr>
          <w:rFonts w:ascii="微软雅黑" w:hAnsi="微软雅黑" w:eastAsia="微软雅黑"/>
          <w:i/>
          <w:color w:val="555555"/>
          <w:sz w:val="16"/>
        </w:rPr>
        <w:t xml:space="preserve">  https://www.optics.org/news/nvidia-reveals-plan-to-scale-ai-factories-with-co-packaged-optics</w:t>
      </w:r>
    </w:p>
    <w:p>
      <w:pPr>
        <w:spacing w:after="40" w:line="288" w:lineRule="auto"/>
        <w:ind w:left="480" w:hanging="480"/>
      </w:pPr>
      <w:r>
        <w:rPr>
          <w:rFonts w:ascii="微软雅黑" w:hAnsi="微软雅黑" w:eastAsia="微软雅黑"/>
          <w:b/>
          <w:color w:val="76B900"/>
          <w:sz w:val="18"/>
        </w:rPr>
        <w:t xml:space="preserve">[19] </w:t>
      </w:r>
      <w:r>
        <w:rPr>
          <w:rFonts w:ascii="微软雅黑" w:hAnsi="微软雅黑" w:eastAsia="微软雅黑"/>
          <w:color w:val="1A1A1A"/>
          <w:sz w:val="18"/>
        </w:rPr>
        <w:t>LightCounting. March 2025: Nvidia's CPO is the First Step in a Long Journey.</w:t>
      </w:r>
      <w:r>
        <w:rPr>
          <w:rFonts w:ascii="微软雅黑" w:hAnsi="微软雅黑" w:eastAsia="微软雅黑"/>
          <w:i/>
          <w:color w:val="555555"/>
          <w:sz w:val="16"/>
        </w:rPr>
        <w:t xml:space="preserve">  https://www.lightcounting.com/research-note/march-2025-nvidias-cpo-is-the-first-step-in-a-long-journey-395</w:t>
      </w:r>
    </w:p>
    <w:p>
      <w:pPr>
        <w:spacing w:after="40" w:line="288" w:lineRule="auto"/>
        <w:ind w:left="480" w:hanging="480"/>
      </w:pPr>
      <w:r>
        <w:rPr>
          <w:rFonts w:ascii="微软雅黑" w:hAnsi="微软雅黑" w:eastAsia="微软雅黑"/>
          <w:b/>
          <w:color w:val="76B900"/>
          <w:sz w:val="18"/>
        </w:rPr>
        <w:t xml:space="preserve">[20] </w:t>
      </w:r>
      <w:r>
        <w:rPr>
          <w:rFonts w:ascii="微软雅黑" w:hAnsi="微软雅黑" w:eastAsia="微软雅黑"/>
          <w:color w:val="1A1A1A"/>
          <w:sz w:val="18"/>
        </w:rPr>
        <w:t>LightCounting. July 2026: Cloud Data Center Optics（newsletter）.</w:t>
      </w:r>
      <w:r>
        <w:rPr>
          <w:rFonts w:ascii="微软雅黑" w:hAnsi="微软雅黑" w:eastAsia="微软雅黑"/>
          <w:i/>
          <w:color w:val="555555"/>
          <w:sz w:val="16"/>
        </w:rPr>
        <w:t xml:space="preserve">  https://www.lightcounting.com/newsletter/en/july-2026-cloud-data-center-optics-385</w:t>
      </w:r>
    </w:p>
    <w:p>
      <w:pPr>
        <w:spacing w:after="40" w:line="288" w:lineRule="auto"/>
        <w:ind w:left="480" w:hanging="480"/>
      </w:pPr>
      <w:r>
        <w:rPr>
          <w:rFonts w:ascii="微软雅黑" w:hAnsi="微软雅黑" w:eastAsia="微软雅黑"/>
          <w:b/>
          <w:color w:val="76B900"/>
          <w:sz w:val="18"/>
        </w:rPr>
        <w:t xml:space="preserve">[21] </w:t>
      </w:r>
      <w:r>
        <w:rPr>
          <w:rFonts w:ascii="微软雅黑" w:hAnsi="微软雅黑" w:eastAsia="微软雅黑"/>
          <w:color w:val="1A1A1A"/>
          <w:sz w:val="18"/>
        </w:rPr>
        <w:t>LightCounting. July 2026: Co-Packaged and Near-Packaged Optics (CPO/NPO)（research note）.</w:t>
      </w:r>
      <w:r>
        <w:rPr>
          <w:rFonts w:ascii="微软雅黑" w:hAnsi="微软雅黑" w:eastAsia="微软雅黑"/>
          <w:i/>
          <w:color w:val="555555"/>
          <w:sz w:val="16"/>
        </w:rPr>
        <w:t xml:space="preserve">  https://www.lightcounting.com/research-note/july-2026-co-packaged-and-near-packaged-optics-cponpo-451</w:t>
      </w:r>
    </w:p>
    <w:p>
      <w:pPr>
        <w:spacing w:after="40" w:line="288" w:lineRule="auto"/>
        <w:ind w:left="480" w:hanging="480"/>
      </w:pPr>
      <w:r>
        <w:rPr>
          <w:rFonts w:ascii="微软雅黑" w:hAnsi="微软雅黑" w:eastAsia="微软雅黑"/>
          <w:b/>
          <w:color w:val="76B900"/>
          <w:sz w:val="18"/>
        </w:rPr>
        <w:t xml:space="preserve">[22] </w:t>
      </w:r>
      <w:r>
        <w:rPr>
          <w:rFonts w:ascii="微软雅黑" w:hAnsi="微软雅黑" w:eastAsia="微软雅黑"/>
          <w:color w:val="1A1A1A"/>
          <w:sz w:val="18"/>
        </w:rPr>
        <w:t>Lightwave Online. AI scale-up raises the stakes for transceivers and CPO adoption. 2026-03-10.</w:t>
      </w:r>
      <w:r>
        <w:rPr>
          <w:rFonts w:ascii="微软雅黑" w:hAnsi="微软雅黑" w:eastAsia="微软雅黑"/>
          <w:i/>
          <w:color w:val="555555"/>
          <w:sz w:val="16"/>
        </w:rPr>
        <w:t xml:space="preserve">  https://www.lightwaveonline.com/home/article/55362899/ai-scale-up-raises-the-stakes-for-transceivers-and-cpo-adoption</w:t>
      </w:r>
    </w:p>
    <w:p>
      <w:pPr>
        <w:spacing w:after="40" w:line="288" w:lineRule="auto"/>
        <w:ind w:left="480" w:hanging="480"/>
      </w:pPr>
      <w:r>
        <w:rPr>
          <w:rFonts w:ascii="微软雅黑" w:hAnsi="微软雅黑" w:eastAsia="微软雅黑"/>
          <w:b/>
          <w:color w:val="76B900"/>
          <w:sz w:val="18"/>
        </w:rPr>
        <w:t xml:space="preserve">[23] </w:t>
      </w:r>
      <w:r>
        <w:rPr>
          <w:rFonts w:ascii="微软雅黑" w:hAnsi="微软雅黑" w:eastAsia="微软雅黑"/>
          <w:color w:val="1A1A1A"/>
          <w:sz w:val="18"/>
        </w:rPr>
        <w:t>TrendForce. Global AI Optical Transceiver Market to Reach US$26 Billion in 2026. 2026-04-20.</w:t>
      </w:r>
      <w:r>
        <w:rPr>
          <w:rFonts w:ascii="微软雅黑" w:hAnsi="微软雅黑" w:eastAsia="微软雅黑"/>
          <w:i/>
          <w:color w:val="555555"/>
          <w:sz w:val="16"/>
        </w:rPr>
        <w:t xml:space="preserve">  https://www.trendforce.com/presscenter/news/20260420-13017.html</w:t>
      </w:r>
    </w:p>
    <w:p>
      <w:pPr>
        <w:spacing w:after="40" w:line="288" w:lineRule="auto"/>
        <w:ind w:left="480" w:hanging="480"/>
      </w:pPr>
      <w:r>
        <w:rPr>
          <w:rFonts w:ascii="微软雅黑" w:hAnsi="微软雅黑" w:eastAsia="微软雅黑"/>
          <w:b/>
          <w:color w:val="76B900"/>
          <w:sz w:val="18"/>
        </w:rPr>
        <w:t xml:space="preserve">[24] </w:t>
      </w:r>
      <w:r>
        <w:rPr>
          <w:rFonts w:ascii="微软雅黑" w:hAnsi="微软雅黑" w:eastAsia="微软雅黑"/>
          <w:color w:val="1A1A1A"/>
          <w:sz w:val="18"/>
        </w:rPr>
        <w:t>Lightwave Online. Lumentum's CEO says it's beginning to unlock the massive potential of OCS and CPO. 2026-03-19.</w:t>
      </w:r>
      <w:r>
        <w:rPr>
          <w:rFonts w:ascii="微软雅黑" w:hAnsi="微软雅黑" w:eastAsia="微软雅黑"/>
          <w:i/>
          <w:color w:val="555555"/>
          <w:sz w:val="16"/>
        </w:rPr>
        <w:t xml:space="preserve">  https://www.lightwaveonline.com/home/news/55365034/lumentums-ceo-says-its-beginning-to-unlock-the-massive-potential-of-ocs-and-cpo</w:t>
      </w:r>
    </w:p>
    <w:p>
      <w:pPr>
        <w:spacing w:after="40" w:line="288" w:lineRule="auto"/>
        <w:ind w:left="480" w:hanging="480"/>
      </w:pPr>
      <w:r>
        <w:rPr>
          <w:rFonts w:ascii="微软雅黑" w:hAnsi="微软雅黑" w:eastAsia="微软雅黑"/>
          <w:b/>
          <w:color w:val="76B900"/>
          <w:sz w:val="18"/>
        </w:rPr>
        <w:t xml:space="preserve">[25] </w:t>
      </w:r>
      <w:r>
        <w:rPr>
          <w:rFonts w:ascii="微软雅黑" w:hAnsi="微软雅黑" w:eastAsia="微软雅黑"/>
          <w:color w:val="1A1A1A"/>
          <w:sz w:val="18"/>
        </w:rPr>
        <w:t>IDTechEx (Yu-Han Chang). Co-Packaged Optics Race: Strategic Approaches from NVIDIA and Broadcom. 2026-03-11.</w:t>
      </w:r>
      <w:r>
        <w:rPr>
          <w:rFonts w:ascii="微软雅黑" w:hAnsi="微软雅黑" w:eastAsia="微软雅黑"/>
          <w:i/>
          <w:color w:val="555555"/>
          <w:sz w:val="16"/>
        </w:rPr>
        <w:t xml:space="preserve">  https://www.idtechex.com/en/research-article/co-packaged-optics-race-strategic-approaches-from-nvidia-and-broadcom/34467</w:t>
      </w:r>
    </w:p>
    <w:p>
      <w:pPr>
        <w:spacing w:after="40" w:line="288" w:lineRule="auto"/>
        <w:ind w:left="480" w:hanging="480"/>
      </w:pPr>
      <w:r>
        <w:rPr>
          <w:rFonts w:ascii="微软雅黑" w:hAnsi="微软雅黑" w:eastAsia="微软雅黑"/>
          <w:b/>
          <w:color w:val="76B900"/>
          <w:sz w:val="18"/>
        </w:rPr>
        <w:t xml:space="preserve">[26] </w:t>
      </w:r>
      <w:r>
        <w:rPr>
          <w:rFonts w:ascii="微软雅黑" w:hAnsi="微软雅黑" w:eastAsia="微软雅黑"/>
          <w:color w:val="1A1A1A"/>
          <w:sz w:val="18"/>
        </w:rPr>
        <w:t>Tom's Hardware (Anton Shilov). Co-Packaged Optics (CPO) foundry roadmaps: TSMC, Intel, Samsung, GlobalFoundries. 2026-08-03.</w:t>
      </w:r>
      <w:r>
        <w:rPr>
          <w:rFonts w:ascii="微软雅黑" w:hAnsi="微软雅黑" w:eastAsia="微软雅黑"/>
          <w:i/>
          <w:color w:val="555555"/>
          <w:sz w:val="16"/>
        </w:rPr>
        <w:t xml:space="preserve">  https://www.tomshardware.com/tech-industry/artificial-intelligence/co-packaged-optics-cpo-foundry-roadmaps-breaking-down-tsmc-intel-samsung-and-globalfoundries-approach-to-next-generation-scale-up-connectivity</w:t>
      </w:r>
    </w:p>
    <w:p>
      <w:pPr>
        <w:spacing w:after="40" w:line="288" w:lineRule="auto"/>
        <w:ind w:left="480" w:hanging="480"/>
      </w:pPr>
      <w:r>
        <w:rPr>
          <w:rFonts w:ascii="微软雅黑" w:hAnsi="微软雅黑" w:eastAsia="微软雅黑"/>
          <w:b/>
          <w:color w:val="76B900"/>
          <w:sz w:val="18"/>
        </w:rPr>
        <w:t xml:space="preserve">[27] </w:t>
      </w:r>
      <w:r>
        <w:rPr>
          <w:rFonts w:ascii="微软雅黑" w:hAnsi="微软雅黑" w:eastAsia="微软雅黑"/>
          <w:color w:val="1A1A1A"/>
          <w:sz w:val="18"/>
        </w:rPr>
        <w:t>Wevolver. What is Co-Packaged Optics: Architecture, Benefits, Challenges and Performance. 2026-04-24.</w:t>
      </w:r>
      <w:r>
        <w:rPr>
          <w:rFonts w:ascii="微软雅黑" w:hAnsi="微软雅黑" w:eastAsia="微软雅黑"/>
          <w:i/>
          <w:color w:val="555555"/>
          <w:sz w:val="16"/>
        </w:rPr>
        <w:t xml:space="preserve">  https://www.wevolver.com/article/what-is-co-packaged-optics-architecture-benefits-challenges-and-performance</w:t>
      </w:r>
    </w:p>
    <w:p>
      <w:pPr>
        <w:spacing w:after="40" w:line="288" w:lineRule="auto"/>
        <w:ind w:left="480" w:hanging="480"/>
      </w:pPr>
      <w:r>
        <w:rPr>
          <w:rFonts w:ascii="微软雅黑" w:hAnsi="微软雅黑" w:eastAsia="微软雅黑"/>
          <w:b/>
          <w:color w:val="76B900"/>
          <w:sz w:val="18"/>
        </w:rPr>
        <w:t xml:space="preserve">[28] </w:t>
      </w:r>
      <w:r>
        <w:rPr>
          <w:rFonts w:ascii="微软雅黑" w:hAnsi="微软雅黑" w:eastAsia="微软雅黑"/>
          <w:color w:val="1A1A1A"/>
          <w:sz w:val="18"/>
        </w:rPr>
        <w:t>SemiAnalysis (Dylan Patel). Co Packaged Optics (CPO) – Scaling with Light. 2026-01.</w:t>
      </w:r>
      <w:r>
        <w:rPr>
          <w:rFonts w:ascii="微软雅黑" w:hAnsi="微软雅黑" w:eastAsia="微软雅黑"/>
          <w:i/>
          <w:color w:val="555555"/>
          <w:sz w:val="16"/>
        </w:rPr>
        <w:t xml:space="preserve">  https://newsletter.semianalysis.com/p/co-packaged-optics-cpo-book-scaling</w:t>
      </w:r>
    </w:p>
    <w:p>
      <w:pPr>
        <w:spacing w:after="40" w:line="288" w:lineRule="auto"/>
        <w:ind w:left="480" w:hanging="480"/>
      </w:pPr>
      <w:r>
        <w:rPr>
          <w:rFonts w:ascii="微软雅黑" w:hAnsi="微软雅黑" w:eastAsia="微软雅黑"/>
          <w:b/>
          <w:color w:val="76B900"/>
          <w:sz w:val="18"/>
        </w:rPr>
        <w:t xml:space="preserve">[29] </w:t>
      </w:r>
      <w:r>
        <w:rPr>
          <w:rFonts w:ascii="微软雅黑" w:hAnsi="微软雅黑" w:eastAsia="微软雅黑"/>
          <w:color w:val="1A1A1A"/>
          <w:sz w:val="18"/>
        </w:rPr>
        <w:t>Cignal AI. CPO is Turning the Corner. 2025-02-05.</w:t>
      </w:r>
      <w:r>
        <w:rPr>
          <w:rFonts w:ascii="微软雅黑" w:hAnsi="微软雅黑" w:eastAsia="微软雅黑"/>
          <w:i/>
          <w:color w:val="555555"/>
          <w:sz w:val="16"/>
        </w:rPr>
        <w:t xml:space="preserve">  https://cignal.ai/2025/02/cpo-is-turning-the-corner/</w:t>
      </w:r>
    </w:p>
    <w:p>
      <w:pPr>
        <w:spacing w:after="40" w:line="288" w:lineRule="auto"/>
        <w:ind w:left="480" w:hanging="480"/>
      </w:pPr>
      <w:r>
        <w:rPr>
          <w:rFonts w:ascii="微软雅黑" w:hAnsi="微软雅黑" w:eastAsia="微软雅黑"/>
          <w:b/>
          <w:color w:val="76B900"/>
          <w:sz w:val="18"/>
        </w:rPr>
        <w:t xml:space="preserve">[30] </w:t>
      </w:r>
      <w:r>
        <w:rPr>
          <w:rFonts w:ascii="微软雅黑" w:hAnsi="微软雅黑" w:eastAsia="微软雅黑"/>
          <w:color w:val="1A1A1A"/>
          <w:sz w:val="18"/>
        </w:rPr>
        <w:t>OIF. ELSFP Implementation Agreement (OIF-ELSFP-02.0).</w:t>
      </w:r>
      <w:r>
        <w:rPr>
          <w:rFonts w:ascii="微软雅黑" w:hAnsi="微软雅黑" w:eastAsia="微软雅黑"/>
          <w:i/>
          <w:color w:val="555555"/>
          <w:sz w:val="16"/>
        </w:rPr>
        <w:t xml:space="preserve">  https://www.oiforum.com/wp-content/uploads/OIF-ELSFP-02.0.pdf</w:t>
      </w:r>
    </w:p>
    <w:p>
      <w:pPr>
        <w:spacing w:after="40" w:line="288" w:lineRule="auto"/>
        <w:ind w:left="480" w:hanging="480"/>
      </w:pPr>
      <w:r>
        <w:rPr>
          <w:rFonts w:ascii="微软雅黑" w:hAnsi="微软雅黑" w:eastAsia="微软雅黑"/>
          <w:b/>
          <w:color w:val="76B900"/>
          <w:sz w:val="18"/>
        </w:rPr>
        <w:t xml:space="preserve">[31] </w:t>
      </w:r>
      <w:r>
        <w:rPr>
          <w:rFonts w:ascii="微软雅黑" w:hAnsi="微软雅黑" w:eastAsia="微软雅黑"/>
          <w:color w:val="1A1A1A"/>
          <w:sz w:val="18"/>
        </w:rPr>
        <w:t>John H Lau. Co-Packaged Optics - Heterogeneous Integration of Chiplets. J. Microelectronics and Electronic Packaging. 2025-12-15.</w:t>
      </w:r>
      <w:r>
        <w:rPr>
          <w:rFonts w:ascii="微软雅黑" w:hAnsi="微软雅黑" w:eastAsia="微软雅黑"/>
          <w:i/>
          <w:color w:val="555555"/>
          <w:sz w:val="16"/>
        </w:rPr>
        <w:t xml:space="preserve">  https://imapsjmep.org/article/154275-co-packaged-optics-heterogeneous-integration-of-chiplets-switch-photonic-ic-and-electronic-ic</w:t>
      </w:r>
    </w:p>
    <w:p>
      <w:pPr>
        <w:spacing w:after="40" w:line="288" w:lineRule="auto"/>
        <w:ind w:left="480" w:hanging="480"/>
      </w:pPr>
      <w:r>
        <w:rPr>
          <w:rFonts w:ascii="微软雅黑" w:hAnsi="微软雅黑" w:eastAsia="微软雅黑"/>
          <w:b/>
          <w:color w:val="76B900"/>
          <w:sz w:val="18"/>
        </w:rPr>
        <w:t xml:space="preserve">[32] </w:t>
      </w:r>
      <w:r>
        <w:rPr>
          <w:rFonts w:ascii="微软雅黑" w:hAnsi="微软雅黑" w:eastAsia="微软雅黑"/>
          <w:color w:val="1A1A1A"/>
          <w:sz w:val="18"/>
        </w:rPr>
        <w:t>IEEE HIR Roadmap. Photonics Chapter (rev0.9). 2026-05.</w:t>
      </w:r>
      <w:r>
        <w:rPr>
          <w:rFonts w:ascii="微软雅黑" w:hAnsi="微软雅黑" w:eastAsia="微软雅黑"/>
          <w:i/>
          <w:color w:val="555555"/>
          <w:sz w:val="16"/>
        </w:rPr>
        <w:t xml:space="preserve">  https://eps.ieee.org/wp-content/uploads/2026/05/HIR_9_Photonics_rev0.9.pdf</w:t>
      </w:r>
    </w:p>
    <w:p>
      <w:pPr>
        <w:spacing w:after="40" w:line="288" w:lineRule="auto"/>
        <w:ind w:left="480" w:hanging="480"/>
      </w:pPr>
      <w:r>
        <w:rPr>
          <w:rFonts w:ascii="微软雅黑" w:hAnsi="微软雅黑" w:eastAsia="微软雅黑"/>
          <w:b/>
          <w:color w:val="76B900"/>
          <w:sz w:val="18"/>
        </w:rPr>
        <w:t xml:space="preserve">[33] </w:t>
      </w:r>
      <w:r>
        <w:rPr>
          <w:rFonts w:ascii="微软雅黑" w:hAnsi="微软雅黑" w:eastAsia="微软雅黑"/>
          <w:color w:val="1A1A1A"/>
          <w:sz w:val="18"/>
        </w:rPr>
        <w:t>MDPI Micromachines. Electronic Chip Package and Co-Packaged Optics (CPO) Technology for Modern AI Era: A Review.</w:t>
      </w:r>
      <w:r>
        <w:rPr>
          <w:rFonts w:ascii="微软雅黑" w:hAnsi="微软雅黑" w:eastAsia="微软雅黑"/>
          <w:i/>
          <w:color w:val="555555"/>
          <w:sz w:val="16"/>
        </w:rPr>
        <w:t xml:space="preserve">  https://www.mdpi.com/2072-666X/16/4/431</w:t>
      </w:r>
    </w:p>
    <w:p>
      <w:pPr>
        <w:spacing w:after="40" w:line="288" w:lineRule="auto"/>
        <w:ind w:left="480" w:hanging="480"/>
      </w:pPr>
      <w:r>
        <w:rPr>
          <w:rFonts w:ascii="微软雅黑" w:hAnsi="微软雅黑" w:eastAsia="微软雅黑"/>
          <w:b/>
          <w:color w:val="76B900"/>
          <w:sz w:val="18"/>
        </w:rPr>
        <w:t xml:space="preserve">[34] </w:t>
      </w:r>
      <w:r>
        <w:rPr>
          <w:rFonts w:ascii="微软雅黑" w:hAnsi="微软雅黑" w:eastAsia="微软雅黑"/>
          <w:color w:val="1A1A1A"/>
          <w:sz w:val="18"/>
        </w:rPr>
        <w:t>IBM. Next generation Co-Packaged Optics Technology to Train &amp; Run Generative AI Models.</w:t>
      </w:r>
      <w:r>
        <w:rPr>
          <w:rFonts w:ascii="微软雅黑" w:hAnsi="微软雅黑" w:eastAsia="微软雅黑"/>
          <w:i/>
          <w:color w:val="555555"/>
          <w:sz w:val="16"/>
        </w:rPr>
        <w:t xml:space="preserve">  https://research-website-prod-cms-uploads.s3.us.cloud-object-storage.appdomain.cloud/7_Dec2024_IBM_CPO_technology_v17_0f50b562eb.pdf</w:t>
      </w:r>
    </w:p>
    <w:p>
      <w:pPr>
        <w:spacing w:after="40" w:line="288" w:lineRule="auto"/>
        <w:ind w:left="480" w:hanging="480"/>
      </w:pPr>
      <w:r>
        <w:rPr>
          <w:rFonts w:ascii="微软雅黑" w:hAnsi="微软雅黑" w:eastAsia="微软雅黑"/>
          <w:b/>
          <w:color w:val="76B900"/>
          <w:sz w:val="18"/>
        </w:rPr>
        <w:t xml:space="preserve">[35] </w:t>
      </w:r>
      <w:r>
        <w:rPr>
          <w:rFonts w:ascii="微软雅黑" w:hAnsi="微软雅黑" w:eastAsia="微软雅黑"/>
          <w:color w:val="1A1A1A"/>
          <w:sz w:val="18"/>
        </w:rPr>
        <w:t>天下工厂产业研究院. 2026 中国光通信光模块行业市场规模及竞争格局深度研究报告. 2026-06-01.</w:t>
      </w:r>
      <w:r>
        <w:rPr>
          <w:rFonts w:ascii="微软雅黑" w:hAnsi="微软雅黑" w:eastAsia="微软雅黑"/>
          <w:i/>
          <w:color w:val="555555"/>
          <w:sz w:val="16"/>
        </w:rPr>
        <w:t xml:space="preserve">  https://faxiangongchang.com/reports/china-optical-module-2026</w:t>
      </w:r>
    </w:p>
    <w:p>
      <w:pPr>
        <w:spacing w:after="40" w:line="288" w:lineRule="auto"/>
        <w:ind w:left="480" w:hanging="480"/>
      </w:pPr>
      <w:r>
        <w:rPr>
          <w:rFonts w:ascii="微软雅黑" w:hAnsi="微软雅黑" w:eastAsia="微软雅黑"/>
          <w:b/>
          <w:color w:val="76B900"/>
          <w:sz w:val="18"/>
        </w:rPr>
        <w:t xml:space="preserve">[36] </w:t>
      </w:r>
      <w:r>
        <w:rPr>
          <w:rFonts w:ascii="微软雅黑" w:hAnsi="微软雅黑" w:eastAsia="微软雅黑"/>
          <w:color w:val="1A1A1A"/>
          <w:sz w:val="18"/>
        </w:rPr>
        <w:t>OFweek光通讯网. 深度 | 光芯片突围战正式打响. 2026-07.</w:t>
      </w:r>
      <w:r>
        <w:rPr>
          <w:rFonts w:ascii="微软雅黑" w:hAnsi="微软雅黑" w:eastAsia="微软雅黑"/>
          <w:i/>
          <w:color w:val="555555"/>
          <w:sz w:val="16"/>
        </w:rPr>
        <w:t xml:space="preserve">  https://fiber.ofweek.com/2026-07/ART-210008-8110-30694120.html</w:t>
      </w:r>
    </w:p>
    <w:p>
      <w:pPr>
        <w:spacing w:after="40" w:line="288" w:lineRule="auto"/>
        <w:ind w:left="480" w:hanging="480"/>
      </w:pPr>
      <w:r>
        <w:rPr>
          <w:rFonts w:ascii="微软雅黑" w:hAnsi="微软雅黑" w:eastAsia="微软雅黑"/>
          <w:b/>
          <w:color w:val="76B900"/>
          <w:sz w:val="18"/>
        </w:rPr>
        <w:t xml:space="preserve">[37] </w:t>
      </w:r>
      <w:r>
        <w:rPr>
          <w:rFonts w:ascii="微软雅黑" w:hAnsi="微软雅黑" w:eastAsia="微软雅黑"/>
          <w:color w:val="1A1A1A"/>
          <w:sz w:val="18"/>
        </w:rPr>
        <w:t>夜雨聆风. 从InP衬底到光传输系统：AI光通信产业链十环节竞争格局与国产替代路径.</w:t>
      </w:r>
      <w:r>
        <w:rPr>
          <w:rFonts w:ascii="微软雅黑" w:hAnsi="微软雅黑" w:eastAsia="微软雅黑"/>
          <w:i/>
          <w:color w:val="555555"/>
          <w:sz w:val="16"/>
        </w:rPr>
        <w:t xml:space="preserve">  https://www.yeyulingfeng.com/552975.html</w:t>
      </w:r>
    </w:p>
    <w:p>
      <w:pPr>
        <w:spacing w:after="40" w:line="288" w:lineRule="auto"/>
        <w:ind w:left="480" w:hanging="480"/>
      </w:pPr>
      <w:r>
        <w:rPr>
          <w:rFonts w:ascii="微软雅黑" w:hAnsi="微软雅黑" w:eastAsia="微软雅黑"/>
          <w:b/>
          <w:color w:val="76B900"/>
          <w:sz w:val="18"/>
        </w:rPr>
        <w:t xml:space="preserve">[38] </w:t>
      </w:r>
      <w:r>
        <w:rPr>
          <w:rFonts w:ascii="微软雅黑" w:hAnsi="微软雅黑" w:eastAsia="微软雅黑"/>
          <w:color w:val="1A1A1A"/>
          <w:sz w:val="18"/>
        </w:rPr>
        <w:t>讯石光通讯网. 预付款暴增39倍！旭创、新易盛锁料保交付. 2026-06-04.</w:t>
      </w:r>
      <w:r>
        <w:rPr>
          <w:rFonts w:ascii="微软雅黑" w:hAnsi="微软雅黑" w:eastAsia="微软雅黑"/>
          <w:i/>
          <w:color w:val="555555"/>
          <w:sz w:val="16"/>
        </w:rPr>
        <w:t xml:space="preserve">  http://www.iccsz.com/Site/CN/News/2026/06/04/20260604015636849691.htm</w:t>
      </w:r>
    </w:p>
    <w:p>
      <w:pPr>
        <w:spacing w:after="40" w:line="288" w:lineRule="auto"/>
        <w:ind w:left="480" w:hanging="480"/>
      </w:pPr>
      <w:r>
        <w:rPr>
          <w:rFonts w:ascii="微软雅黑" w:hAnsi="微软雅黑" w:eastAsia="微软雅黑"/>
          <w:b/>
          <w:color w:val="76B900"/>
          <w:sz w:val="18"/>
        </w:rPr>
        <w:t xml:space="preserve">[39] </w:t>
      </w:r>
      <w:r>
        <w:rPr>
          <w:rFonts w:ascii="微软雅黑" w:hAnsi="微软雅黑" w:eastAsia="微软雅黑"/>
          <w:color w:val="1A1A1A"/>
          <w:sz w:val="18"/>
        </w:rPr>
        <w:t>约投顾. 光模块光电转换核心器件依赖进口，国产替代在哪些环节取得突破？. 2026-07-29.</w:t>
      </w:r>
      <w:r>
        <w:rPr>
          <w:rFonts w:ascii="微软雅黑" w:hAnsi="微软雅黑" w:eastAsia="微软雅黑"/>
          <w:i/>
          <w:color w:val="555555"/>
          <w:sz w:val="16"/>
        </w:rPr>
        <w:t xml:space="preserve">  https://ag.yueniuzq.com/insight/optical-module-photoelectric-conversion-domestic-s/</w:t>
      </w:r>
    </w:p>
    <w:p>
      <w:pPr>
        <w:spacing w:after="40" w:line="288" w:lineRule="auto"/>
        <w:ind w:left="480" w:hanging="480"/>
      </w:pPr>
      <w:r>
        <w:rPr>
          <w:rFonts w:ascii="微软雅黑" w:hAnsi="微软雅黑" w:eastAsia="微软雅黑"/>
          <w:b/>
          <w:color w:val="76B900"/>
          <w:sz w:val="18"/>
        </w:rPr>
        <w:t xml:space="preserve">[40] </w:t>
      </w:r>
      <w:r>
        <w:rPr>
          <w:rFonts w:ascii="微软雅黑" w:hAnsi="微软雅黑" w:eastAsia="微软雅黑"/>
          <w:color w:val="1A1A1A"/>
          <w:sz w:val="18"/>
        </w:rPr>
        <w:t>TradingKey. 牵手Lumentum与Coherent，英伟达40亿美元押注的CPO能接住AI算力的未来吗？. 2026-03-02.</w:t>
      </w:r>
      <w:r>
        <w:rPr>
          <w:rFonts w:ascii="微软雅黑" w:hAnsi="微软雅黑" w:eastAsia="微软雅黑"/>
          <w:i/>
          <w:color w:val="555555"/>
          <w:sz w:val="16"/>
        </w:rPr>
        <w:t xml:space="preserve">  https://www.tradingkey.com/zh-hans/analysis/stocks/us-stock/261638193-partnering-lumentum-coherent-nvidia-40-billion-cpo-future-ai-computing-power-tradingkey</w:t>
      </w:r>
    </w:p>
    <w:p/>
    <w:p>
      <w:pPr>
        <w:jc w:val="center"/>
      </w:pPr>
      <w:r>
        <w:rPr>
          <w:rFonts w:ascii="微软雅黑" w:hAnsi="微软雅黑" w:eastAsia="微软雅黑"/>
          <w:b/>
          <w:color w:val="76B900"/>
          <w:sz w:val="22"/>
        </w:rPr>
        <w:t>— 报告完 —</w:t>
      </w:r>
    </w:p>
    <w:p>
      <w:pPr>
        <w:jc w:val="center"/>
      </w:pPr>
      <w:r>
        <w:rPr>
          <w:rFonts w:ascii="微软雅黑" w:hAnsi="微软雅黑" w:eastAsia="微软雅黑"/>
          <w:i/>
          <w:color w:val="555555"/>
          <w:sz w:val="17"/>
        </w:rPr>
        <w:t>本报告基于公开资料整理，数据截至2026年3月，仅供战略研究参考，不构成投资建议。</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after="80"/>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