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FD1BF">
      <w:pPr>
        <w:autoSpaceDE w:val="0"/>
        <w:autoSpaceDN w:val="0"/>
        <w:ind w:left="3105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9444F8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2A36A9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093E3D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55290F9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DC921E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F25C64A">
      <w:pPr>
        <w:autoSpaceDE w:val="0"/>
        <w:autoSpaceDN w:val="0"/>
        <w:rPr>
          <w:rFonts w:hint="eastAsia" w:ascii="黑体" w:hAnsi="黑体" w:eastAsia="黑体" w:cs="黑体"/>
          <w:sz w:val="14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2712720</wp:posOffset>
            </wp:positionH>
            <wp:positionV relativeFrom="paragraph">
              <wp:posOffset>127000</wp:posOffset>
            </wp:positionV>
            <wp:extent cx="2667635" cy="6356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81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3B26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260297A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41B53A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9D4BDE1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AC3766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819C35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9CA045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771E28C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35E3E3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067CE5C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D9B03AB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授课学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期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  <w:r>
        <w:rPr>
          <w:rFonts w:ascii="宋体" w:hAnsi="宋体" w:eastAsia="宋体"/>
          <w:sz w:val="24"/>
        </w:rPr>
        <w:t>2025-2026学年第1学期</w:t>
      </w:r>
    </w:p>
    <w:p w14:paraId="400FD2DE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 xml:space="preserve">教 研 室 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bidi="zh-CN"/>
        </w:rPr>
        <w:t xml:space="preserve"> 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  <w:r>
        <w:rPr>
          <w:rFonts w:ascii="宋体" w:hAnsi="宋体" w:eastAsia="宋体"/>
          <w:sz w:val="24"/>
        </w:rPr>
        <w:t>市场营销团队</w:t>
      </w:r>
    </w:p>
    <w:p w14:paraId="7CE1588E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授课教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师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  <w:r>
        <w:rPr>
          <w:rFonts w:ascii="宋体" w:hAnsi="宋体" w:eastAsia="宋体"/>
          <w:sz w:val="24"/>
        </w:rPr>
        <w:t>李  林</w:t>
      </w:r>
    </w:p>
    <w:p w14:paraId="7BAB2E8B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授课班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级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  <w:r>
        <w:rPr>
          <w:rFonts w:ascii="宋体" w:hAnsi="宋体" w:eastAsia="宋体"/>
          <w:sz w:val="24"/>
        </w:rPr>
        <w:t>24数字经济（营销）1班</w:t>
      </w:r>
    </w:p>
    <w:p w14:paraId="2C3B798F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课程名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称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  <w:r>
        <w:rPr>
          <w:rFonts w:ascii="宋体" w:hAnsi="宋体" w:eastAsia="宋体"/>
          <w:sz w:val="24"/>
        </w:rPr>
        <w:t>中国东盟营销环境与策略</w:t>
      </w:r>
    </w:p>
    <w:p w14:paraId="1C9418C4">
      <w:pPr>
        <w:tabs>
          <w:tab w:val="left" w:pos="6220"/>
        </w:tabs>
        <w:autoSpaceDE w:val="0"/>
        <w:autoSpaceDN w:val="0"/>
        <w:spacing w:before="142" w:line="252" w:lineRule="auto"/>
        <w:ind w:right="2041" w:firstLine="1096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开课部门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 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  <w:r>
        <w:rPr>
          <w:rFonts w:ascii="宋体" w:hAnsi="宋体" w:eastAsia="宋体"/>
          <w:sz w:val="24"/>
        </w:rPr>
        <w:t>数字经济学院</w:t>
      </w:r>
    </w:p>
    <w:p w14:paraId="40B16CF4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98AFEE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A12D6DC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2510AC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6DBD31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513C8FB">
      <w:pPr>
        <w:tabs>
          <w:tab w:val="left" w:pos="1123"/>
          <w:tab w:val="left" w:pos="2105"/>
        </w:tabs>
        <w:autoSpaceDE w:val="0"/>
        <w:autoSpaceDN w:val="0"/>
        <w:spacing w:before="103"/>
        <w:ind w:left="2"/>
        <w:jc w:val="center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年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月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日</w:t>
      </w:r>
      <w:r>
        <w:rPr>
          <w:rFonts w:ascii="宋体" w:hAnsi="宋体" w:eastAsia="宋体"/>
          <w:sz w:val="24"/>
        </w:rPr>
        <w:t>2025年  9月  日</w:t>
      </w:r>
    </w:p>
    <w:p w14:paraId="67E23C5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645326E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F0B8B67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283B91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C5F3D32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6774B24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8FBE92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C8BE70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2287D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D343DC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8AA824B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2F7272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AA9D83">
      <w:pPr>
        <w:autoSpaceDE w:val="0"/>
        <w:autoSpaceDN w:val="0"/>
        <w:rPr>
          <w:rFonts w:hint="eastAsia" w:ascii="黑体" w:hAnsi="黑体" w:eastAsia="黑体" w:cs="黑体"/>
          <w:sz w:val="36"/>
          <w:szCs w:val="36"/>
          <w:lang w:val="zh-CN" w:bidi="zh-CN"/>
        </w:rPr>
      </w:pPr>
    </w:p>
    <w:p w14:paraId="52087D1E">
      <w:pPr>
        <w:autoSpaceDE w:val="0"/>
        <w:autoSpaceDN w:val="0"/>
        <w:spacing w:before="18"/>
        <w:rPr>
          <w:rFonts w:hint="eastAsia" w:ascii="黑体" w:hAnsi="黑体" w:eastAsia="黑体" w:cs="黑体"/>
          <w:sz w:val="30"/>
          <w:szCs w:val="28"/>
          <w:lang w:val="zh-CN" w:bidi="zh-CN"/>
        </w:rPr>
      </w:pPr>
    </w:p>
    <w:p w14:paraId="4D1100E6">
      <w:pPr>
        <w:autoSpaceDE w:val="0"/>
        <w:autoSpaceDN w:val="0"/>
        <w:spacing w:line="360" w:lineRule="auto"/>
        <w:ind w:left="120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说明：</w:t>
      </w:r>
    </w:p>
    <w:p w14:paraId="683D09E8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30" w:line="360" w:lineRule="auto"/>
        <w:ind w:left="1380" w:right="21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《教学日志》每位教师每个教学班一份，每学期开学前由开课部门教务科准备好相关材料，教师自己完善并装订成册；</w:t>
      </w:r>
    </w:p>
    <w:p w14:paraId="6084B0B2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right="347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13"/>
          <w:sz w:val="28"/>
          <w:szCs w:val="22"/>
          <w:lang w:val="zh-CN" w:bidi="zh-CN"/>
        </w:rPr>
        <w:t>教师上课需要携带《教学日志》，及时记录学生出勤情况及平时成绩；</w:t>
      </w:r>
    </w:p>
    <w:p w14:paraId="42670DB5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期末要将《教学日志》交开课部门教务科作为教学档案存档。</w:t>
      </w:r>
    </w:p>
    <w:p w14:paraId="74A55D56">
      <w:pPr>
        <w:tabs>
          <w:tab w:val="left" w:pos="495"/>
        </w:tabs>
        <w:autoSpaceDE w:val="0"/>
        <w:autoSpaceDN w:val="0"/>
        <w:spacing w:before="2" w:line="360" w:lineRule="auto"/>
        <w:ind w:left="547"/>
        <w:rPr>
          <w:rFonts w:hint="eastAsia" w:ascii="黑体" w:hAnsi="黑体" w:eastAsia="黑体" w:cs="黑体"/>
          <w:sz w:val="28"/>
          <w:szCs w:val="22"/>
          <w:lang w:val="zh-CN" w:bidi="zh-CN"/>
        </w:rPr>
      </w:pPr>
    </w:p>
    <w:p w14:paraId="686A761D">
      <w:pPr>
        <w:rPr>
          <w:rFonts w:hint="eastAsia" w:ascii="黑体" w:hAnsi="黑体" w:eastAsia="黑体" w:cs="黑体"/>
        </w:rPr>
        <w:sectPr>
          <w:pgSz w:w="11910" w:h="16840"/>
          <w:pgMar w:top="1540" w:right="1680" w:bottom="280" w:left="1680" w:header="720" w:footer="720" w:gutter="0"/>
          <w:cols w:space="720" w:num="1"/>
        </w:sectPr>
      </w:pPr>
    </w:p>
    <w:p w14:paraId="0BAA7AFA">
      <w:pPr>
        <w:spacing w:line="300" w:lineRule="auto"/>
        <w:ind w:right="-170" w:rightChars="-81"/>
        <w:jc w:val="center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 xml:space="preserve">                  2025--2026学年第 1 学期教学计划进度表</w:t>
      </w:r>
    </w:p>
    <w:p w14:paraId="4FF2681F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课程名称：中国东盟营销环境与策略   课程性质：专业任选课       授课教师：李林 </w:t>
      </w:r>
    </w:p>
    <w:p w14:paraId="4F823164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授课班级：24数字经济（营销）1班   授课总学时：32   联系电话：</w:t>
      </w:r>
    </w:p>
    <w:tbl>
      <w:tblPr>
        <w:tblStyle w:val="5"/>
        <w:tblW w:w="1077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396"/>
        <w:gridCol w:w="559"/>
        <w:gridCol w:w="4610"/>
        <w:gridCol w:w="570"/>
        <w:gridCol w:w="567"/>
        <w:gridCol w:w="564"/>
        <w:gridCol w:w="567"/>
        <w:gridCol w:w="567"/>
        <w:gridCol w:w="570"/>
        <w:gridCol w:w="1276"/>
      </w:tblGrid>
      <w:tr w14:paraId="77C1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528" w:type="dxa"/>
            <w:vMerge w:val="restart"/>
            <w:vAlign w:val="center"/>
          </w:tcPr>
          <w:p w14:paraId="243A453B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周</w:t>
            </w:r>
          </w:p>
          <w:p w14:paraId="53D34B5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396" w:type="dxa"/>
            <w:vMerge w:val="restart"/>
            <w:vAlign w:val="center"/>
          </w:tcPr>
          <w:p w14:paraId="2BF8F97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星</w:t>
            </w:r>
          </w:p>
          <w:p w14:paraId="1FA18C8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期</w:t>
            </w:r>
          </w:p>
        </w:tc>
        <w:tc>
          <w:tcPr>
            <w:tcW w:w="559" w:type="dxa"/>
            <w:vMerge w:val="restart"/>
            <w:vAlign w:val="center"/>
          </w:tcPr>
          <w:p w14:paraId="2A50031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节</w:t>
            </w:r>
          </w:p>
          <w:p w14:paraId="460A9BF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4610" w:type="dxa"/>
            <w:vMerge w:val="restart"/>
            <w:vAlign w:val="center"/>
          </w:tcPr>
          <w:p w14:paraId="4470AF4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授课内容</w:t>
            </w:r>
          </w:p>
        </w:tc>
        <w:tc>
          <w:tcPr>
            <w:tcW w:w="570" w:type="dxa"/>
            <w:vAlign w:val="center"/>
          </w:tcPr>
          <w:p w14:paraId="09A00279">
            <w:pPr>
              <w:ind w:right="-107" w:rightChars="-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讲课</w:t>
            </w:r>
          </w:p>
        </w:tc>
        <w:tc>
          <w:tcPr>
            <w:tcW w:w="567" w:type="dxa"/>
            <w:vAlign w:val="center"/>
          </w:tcPr>
          <w:p w14:paraId="0C949DBE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习题/</w:t>
            </w:r>
          </w:p>
          <w:p w14:paraId="0E577E2B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讨论</w:t>
            </w:r>
          </w:p>
        </w:tc>
        <w:tc>
          <w:tcPr>
            <w:tcW w:w="564" w:type="dxa"/>
            <w:vAlign w:val="center"/>
          </w:tcPr>
          <w:p w14:paraId="1136FA98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实验/</w:t>
            </w:r>
          </w:p>
          <w:p w14:paraId="1BD0722D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上机</w:t>
            </w:r>
          </w:p>
        </w:tc>
        <w:tc>
          <w:tcPr>
            <w:tcW w:w="567" w:type="dxa"/>
            <w:vAlign w:val="center"/>
          </w:tcPr>
          <w:p w14:paraId="7075F323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作业</w:t>
            </w:r>
          </w:p>
          <w:p w14:paraId="52C69060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67" w:type="dxa"/>
            <w:vAlign w:val="center"/>
          </w:tcPr>
          <w:p w14:paraId="579F190E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辅导</w:t>
            </w:r>
          </w:p>
          <w:p w14:paraId="20C8A07C">
            <w:pPr>
              <w:ind w:leftChars="-51" w:right="-168" w:rightChars="-80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70" w:type="dxa"/>
            <w:vAlign w:val="center"/>
          </w:tcPr>
          <w:p w14:paraId="4F812CF2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其它</w:t>
            </w:r>
          </w:p>
        </w:tc>
        <w:tc>
          <w:tcPr>
            <w:tcW w:w="1276" w:type="dxa"/>
            <w:vMerge w:val="restart"/>
            <w:vAlign w:val="center"/>
          </w:tcPr>
          <w:p w14:paraId="50AB986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执行情况</w:t>
            </w:r>
          </w:p>
        </w:tc>
      </w:tr>
      <w:tr w14:paraId="66B6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vMerge w:val="continue"/>
          </w:tcPr>
          <w:p w14:paraId="6C71422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  <w:vMerge w:val="continue"/>
          </w:tcPr>
          <w:p w14:paraId="036F193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  <w:vMerge w:val="continue"/>
          </w:tcPr>
          <w:p w14:paraId="55C229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Merge w:val="continue"/>
          </w:tcPr>
          <w:p w14:paraId="0D1D2AD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405" w:type="dxa"/>
            <w:gridSpan w:val="6"/>
          </w:tcPr>
          <w:p w14:paraId="42A8E65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请打√表示</w:t>
            </w:r>
          </w:p>
        </w:tc>
        <w:tc>
          <w:tcPr>
            <w:tcW w:w="1276" w:type="dxa"/>
            <w:vMerge w:val="continue"/>
          </w:tcPr>
          <w:p w14:paraId="3956420B">
            <w:pPr>
              <w:jc w:val="center"/>
              <w:rPr>
                <w:rFonts w:hint="eastAsia" w:ascii="黑体" w:hAnsi="黑体" w:eastAsia="黑体" w:cs="黑体"/>
              </w:rPr>
            </w:pPr>
          </w:p>
        </w:tc>
      </w:tr>
      <w:tr w14:paraId="62B9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5DBF38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396" w:type="dxa"/>
          </w:tcPr>
          <w:p w14:paraId="26C0C4B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1285F30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58CF3EC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（一）东南亚市场概述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（二）东南亚市场调查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1.东南亚市场背景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2.东南亚市场营销概述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3.东南亚市场调查方法与实施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3BF8827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18D3749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666DE96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5C33547E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阅读教材第一章，整理东南亚市场背景资料</w:t>
            </w:r>
          </w:p>
        </w:tc>
        <w:tc>
          <w:tcPr>
            <w:tcW w:w="567" w:type="dxa"/>
          </w:tcPr>
          <w:p w14:paraId="1F3C568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7A840A0D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7AFC7363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6E7BC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443B46A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396" w:type="dxa"/>
          </w:tcPr>
          <w:p w14:paraId="507DB6B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486544C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3C1FB7C8">
            <w:pPr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（三）东南亚市场营销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1.东南亚国家进入的方式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2.东南亚市场营销策略概述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0302022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42BE88D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2C90963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174A268A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分析东南亚市场进入方式案例</w:t>
            </w:r>
          </w:p>
        </w:tc>
        <w:tc>
          <w:tcPr>
            <w:tcW w:w="567" w:type="dxa"/>
          </w:tcPr>
          <w:p w14:paraId="79E58B4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21A693C5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02D231CA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7FC8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7C87FDF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396" w:type="dxa"/>
          </w:tcPr>
          <w:p w14:paraId="0C99A2C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0D10340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6CC12172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（四）泰国市场营销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223A96C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2FC310A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5B22331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3673A464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收集泰国市场环境数据</w:t>
            </w:r>
          </w:p>
        </w:tc>
        <w:tc>
          <w:tcPr>
            <w:tcW w:w="567" w:type="dxa"/>
          </w:tcPr>
          <w:p w14:paraId="3E879DB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3E41A3C0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3A55FB6E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0171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528" w:type="dxa"/>
          </w:tcPr>
          <w:p w14:paraId="591860F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396" w:type="dxa"/>
          </w:tcPr>
          <w:p w14:paraId="4AD0E86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4AEDB58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58F2263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（五）马来西亚市场营销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4B36FCD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525A0AA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058DA3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26E4A5E7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分析马来西亚营销策略特点</w:t>
            </w:r>
          </w:p>
        </w:tc>
        <w:tc>
          <w:tcPr>
            <w:tcW w:w="567" w:type="dxa"/>
          </w:tcPr>
          <w:p w14:paraId="5B054A3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6C95153F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1B922BFF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09D0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BEE4A9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396" w:type="dxa"/>
          </w:tcPr>
          <w:p w14:paraId="642B97D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6807A84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67D01EF0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（六）新加坡市场营销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2AC0B2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516FD6C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25E5266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34062D03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比较新加坡与泰国市场差异</w:t>
            </w:r>
          </w:p>
        </w:tc>
        <w:tc>
          <w:tcPr>
            <w:tcW w:w="567" w:type="dxa"/>
          </w:tcPr>
          <w:p w14:paraId="3484918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043B84E3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58DD2F9D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1E5F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2B92E6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396" w:type="dxa"/>
          </w:tcPr>
          <w:p w14:paraId="39A1D4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3694EB8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2A47A56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（七）印尼市场营销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1F0B655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656EADF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74AC11D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0AA3C54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印尼市场进入策略分析</w:t>
            </w:r>
          </w:p>
        </w:tc>
        <w:tc>
          <w:tcPr>
            <w:tcW w:w="567" w:type="dxa"/>
          </w:tcPr>
          <w:p w14:paraId="7707ED2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0B70E357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3CA35AAF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3F5B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12C6D1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396" w:type="dxa"/>
          </w:tcPr>
          <w:p w14:paraId="01C9C32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581AC09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6EB067D2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（八）菲律宾市场营销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2F5A81C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25EE63E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4DD0BD4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F1861AD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菲律宾消费者行为分析</w:t>
            </w:r>
          </w:p>
        </w:tc>
        <w:tc>
          <w:tcPr>
            <w:tcW w:w="567" w:type="dxa"/>
          </w:tcPr>
          <w:p w14:paraId="0D531F1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72DA16D6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177B57C1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6F16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6CC8EA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396" w:type="dxa"/>
          </w:tcPr>
          <w:p w14:paraId="513D865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5F3CFFA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32E14CB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（九）文莱市场营销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5A7F27A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610F1AD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59AC059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395F021E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文莱市场特殊性分析</w:t>
            </w:r>
          </w:p>
        </w:tc>
        <w:tc>
          <w:tcPr>
            <w:tcW w:w="567" w:type="dxa"/>
          </w:tcPr>
          <w:p w14:paraId="024EF31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123CC7D6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2B696BCC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51206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16826B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396" w:type="dxa"/>
          </w:tcPr>
          <w:p w14:paraId="52A7910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336839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570AD63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（十）越南市场营销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1A54CF0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114B7D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032870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233408E1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越南市场机会与挑战分析</w:t>
            </w:r>
          </w:p>
        </w:tc>
        <w:tc>
          <w:tcPr>
            <w:tcW w:w="567" w:type="dxa"/>
          </w:tcPr>
          <w:p w14:paraId="176740D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07DFF055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774D98C5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400B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041275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396" w:type="dxa"/>
          </w:tcPr>
          <w:p w14:paraId="62D62FC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4A7BD51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5D1BBAD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（十一）柬埔寨市场营销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（地点：A区D-107）</w:t>
            </w:r>
          </w:p>
        </w:tc>
        <w:tc>
          <w:tcPr>
            <w:tcW w:w="570" w:type="dxa"/>
          </w:tcPr>
          <w:p w14:paraId="373F8E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0E12FBD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534006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2B19A45A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柬埔寨市场调研报告</w:t>
            </w:r>
          </w:p>
        </w:tc>
        <w:tc>
          <w:tcPr>
            <w:tcW w:w="567" w:type="dxa"/>
          </w:tcPr>
          <w:p w14:paraId="79D70F7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4E81F112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17C28C32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16D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497691E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396" w:type="dxa"/>
          </w:tcPr>
          <w:p w14:paraId="68CB016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6767511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49DAA6C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（十二）老挝市场营销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（地点：A区D-215）</w:t>
            </w:r>
          </w:p>
        </w:tc>
        <w:tc>
          <w:tcPr>
            <w:tcW w:w="570" w:type="dxa"/>
          </w:tcPr>
          <w:p w14:paraId="6C72CA0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1066908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6A401CD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C0B073F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老挝市场环境分析</w:t>
            </w:r>
          </w:p>
        </w:tc>
        <w:tc>
          <w:tcPr>
            <w:tcW w:w="567" w:type="dxa"/>
          </w:tcPr>
          <w:p w14:paraId="4833597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739E8BF1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0C54664D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33D1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7EC71F9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396" w:type="dxa"/>
          </w:tcPr>
          <w:p w14:paraId="186AE36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5B02915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3B3482A6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（十三）缅甸市场营销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1.市场环境分析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2.市场营销策略分析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课程总结与期末考核说明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（地点：A区D-213）</w:t>
            </w:r>
          </w:p>
        </w:tc>
        <w:tc>
          <w:tcPr>
            <w:tcW w:w="570" w:type="dxa"/>
          </w:tcPr>
          <w:p w14:paraId="307BFC2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7" w:type="dxa"/>
          </w:tcPr>
          <w:p w14:paraId="7632195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4" w:type="dxa"/>
          </w:tcPr>
          <w:p w14:paraId="68AE9B9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50825FA3">
            <w:pPr>
              <w:spacing w:line="273" w:lineRule="auto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期末案例分析准备</w:t>
            </w:r>
          </w:p>
        </w:tc>
        <w:tc>
          <w:tcPr>
            <w:tcW w:w="567" w:type="dxa"/>
          </w:tcPr>
          <w:p w14:paraId="14CD022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10498D89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361708DC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7D08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FCB6CE4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396" w:type="dxa"/>
          </w:tcPr>
          <w:p w14:paraId="186CF01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065293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088D3990">
            <w:pPr>
              <w:snapToGrid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小组展示（一）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泰国市场营销环境与策略分析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马来西亚市场营销环境与策略分析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（地点：A区D-215）</w:t>
            </w:r>
          </w:p>
        </w:tc>
        <w:tc>
          <w:tcPr>
            <w:tcW w:w="570" w:type="dxa"/>
          </w:tcPr>
          <w:p w14:paraId="7477693D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645734EB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4" w:type="dxa"/>
          </w:tcPr>
          <w:p w14:paraId="06E9E1C4">
            <w:pPr>
              <w:spacing w:line="276" w:lineRule="auto"/>
              <w:jc w:val="center"/>
              <w:rPr>
                <w:rFonts w:hint="eastAsia" w:ascii="黑体" w:hAnsi="黑体" w:eastAsia="黑体" w:cs="黑体"/>
                <w:sz w:val="20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16450D3">
            <w:pPr>
              <w:spacing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各组准备展示PPT及报告</w:t>
            </w:r>
          </w:p>
        </w:tc>
        <w:tc>
          <w:tcPr>
            <w:tcW w:w="567" w:type="dxa"/>
          </w:tcPr>
          <w:p w14:paraId="31F4E435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0BBC7E1B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45DA50A9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5855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28" w:type="dxa"/>
          </w:tcPr>
          <w:p w14:paraId="34ECA2C7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396" w:type="dxa"/>
          </w:tcPr>
          <w:p w14:paraId="186B046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5B683D2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6747D490">
            <w:pPr>
              <w:snapToGrid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小组展示（二）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新加坡市场营销环境与策略分析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印尼市场营销环境与策略分析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（地点：A区D-213）</w:t>
            </w:r>
          </w:p>
        </w:tc>
        <w:tc>
          <w:tcPr>
            <w:tcW w:w="570" w:type="dxa"/>
          </w:tcPr>
          <w:p w14:paraId="19175B0F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7587D174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4" w:type="dxa"/>
          </w:tcPr>
          <w:p w14:paraId="58620EC2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5D1FF430">
            <w:pPr>
              <w:spacing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各组准备展示PPT及报告</w:t>
            </w:r>
          </w:p>
        </w:tc>
        <w:tc>
          <w:tcPr>
            <w:tcW w:w="567" w:type="dxa"/>
          </w:tcPr>
          <w:p w14:paraId="3FC227D9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1832B003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23D8114D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4F99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83871DD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w="396" w:type="dxa"/>
          </w:tcPr>
          <w:p w14:paraId="3E2A079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559" w:type="dxa"/>
          </w:tcPr>
          <w:p w14:paraId="4A9C2E2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67998893">
            <w:pPr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小组展示（三）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菲律宾市场营销环境与策略分析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越南市场营销环境与策略分析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（地点：A区D-215）</w:t>
            </w:r>
          </w:p>
        </w:tc>
        <w:tc>
          <w:tcPr>
            <w:tcW w:w="570" w:type="dxa"/>
          </w:tcPr>
          <w:p w14:paraId="16F794F8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728885E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4" w:type="dxa"/>
          </w:tcPr>
          <w:p w14:paraId="648E5B2A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65AF8A6E">
            <w:pPr>
              <w:spacing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各组完善案例分析报告</w:t>
            </w:r>
          </w:p>
        </w:tc>
        <w:tc>
          <w:tcPr>
            <w:tcW w:w="567" w:type="dxa"/>
          </w:tcPr>
          <w:p w14:paraId="7F6CDFE3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68216E32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6F329359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76E4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380F444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w="396" w:type="dxa"/>
          </w:tcPr>
          <w:p w14:paraId="17F217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559" w:type="dxa"/>
          </w:tcPr>
          <w:p w14:paraId="72FBD5C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w="4610" w:type="dxa"/>
            <w:vAlign w:val="center"/>
          </w:tcPr>
          <w:p w14:paraId="5DE1D741">
            <w:pPr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小组展示（四）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柬埔寨市场营销环境与策略分析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老挝市场营销环境与策略分析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缅甸市场营销环境与策略分析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文莱市场营销环境与策略分析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（地点：A区D-213）</w:t>
            </w:r>
          </w:p>
        </w:tc>
        <w:tc>
          <w:tcPr>
            <w:tcW w:w="570" w:type="dxa"/>
          </w:tcPr>
          <w:p w14:paraId="00190D2C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8C5A949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w="564" w:type="dxa"/>
          </w:tcPr>
          <w:p w14:paraId="4878FDD9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67" w:type="dxa"/>
          </w:tcPr>
          <w:p w14:paraId="4D5AAC27">
            <w:pPr>
              <w:spacing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期末案例分析报告提交</w:t>
            </w:r>
          </w:p>
        </w:tc>
        <w:tc>
          <w:tcPr>
            <w:tcW w:w="567" w:type="dxa"/>
          </w:tcPr>
          <w:p w14:paraId="678D5DB8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0" w:type="dxa"/>
          </w:tcPr>
          <w:p w14:paraId="58B28746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76" w:type="dxa"/>
          </w:tcPr>
          <w:p w14:paraId="0973E1D6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 w14:paraId="6C2F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CB82B8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382FAA2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</w:tcPr>
          <w:p w14:paraId="67F4AFE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Align w:val="center"/>
          </w:tcPr>
          <w:p w14:paraId="60C31683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2A7C2AA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7A48871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11F9E1C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E1EBFB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C4F90E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7F555C9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AB9C01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7EF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393584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16C5DE2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</w:tcPr>
          <w:p w14:paraId="66B2B43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Align w:val="center"/>
          </w:tcPr>
          <w:p w14:paraId="484B6E98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6C0413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4815E1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00F3F5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082476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56D639D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67B8095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7AC85B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C0D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75DD19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056BC42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</w:tcPr>
          <w:p w14:paraId="1958C28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Align w:val="center"/>
          </w:tcPr>
          <w:p w14:paraId="6147D439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98C2E0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2208211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1F66E4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7F1FE62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539E5C5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6FA65BB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F7E3FC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B4D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483" w:type="dxa"/>
            <w:gridSpan w:val="3"/>
            <w:vAlign w:val="center"/>
          </w:tcPr>
          <w:p w14:paraId="28FBEE2B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使用教材</w:t>
            </w:r>
          </w:p>
        </w:tc>
        <w:tc>
          <w:tcPr>
            <w:tcW w:w="9291" w:type="dxa"/>
            <w:gridSpan w:val="8"/>
            <w:vAlign w:val="center"/>
          </w:tcPr>
          <w:p w14:paraId="286DCEEE">
            <w:pPr>
              <w:spacing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董佳，东南亚南亚商务环境概论，上海财经大学出版社，2023.1</w:t>
            </w:r>
          </w:p>
        </w:tc>
      </w:tr>
      <w:tr w14:paraId="3076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83" w:type="dxa"/>
            <w:gridSpan w:val="3"/>
            <w:vAlign w:val="center"/>
          </w:tcPr>
          <w:p w14:paraId="43D08F7A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参考书目</w:t>
            </w:r>
          </w:p>
        </w:tc>
        <w:tc>
          <w:tcPr>
            <w:tcW w:w="9291" w:type="dxa"/>
            <w:gridSpan w:val="8"/>
            <w:vAlign w:val="center"/>
          </w:tcPr>
          <w:p w14:paraId="7CA56918">
            <w:pPr>
              <w:spacing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（1）王晓东，国际市场营销，中国人民大学出版社，2022。</w:t>
            </w:r>
          </w:p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（2）林素娟，东南亚市场营销，东北财经大学出版社，2017。</w:t>
            </w:r>
          </w:p>
        </w:tc>
      </w:tr>
      <w:tr w14:paraId="62A8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0774" w:type="dxa"/>
            <w:gridSpan w:val="11"/>
          </w:tcPr>
          <w:p w14:paraId="66ABC54A">
            <w:pPr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18"/>
                <w:szCs w:val="18"/>
              </w:rPr>
              <w:t>说明：1.执行情况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栏：课后填写，若按计划执行打√表示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若未执行请简要说明，如“因公调课”、“因私调课”、“因假期调课”等；</w:t>
            </w:r>
          </w:p>
          <w:p w14:paraId="65BA5AB5">
            <w:pPr>
              <w:spacing w:line="276" w:lineRule="auto"/>
              <w:ind w:firstLine="540" w:firstLineChars="3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2.教学计划进度应以课程教学大纲为依据，对本课程的教学内容、教学形式以及课后作业和辅导进行全面计划和具体安排，是教师组织教学（备课、上课、课后辅导等）及教学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</w:rPr>
              <w:t>运行监控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的依据。</w:t>
            </w:r>
          </w:p>
        </w:tc>
      </w:tr>
    </w:tbl>
    <w:p w14:paraId="0026816B">
      <w:pPr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教研室主任或专业（课程）负责人签字：                                    日期：</w:t>
      </w:r>
    </w:p>
    <w:p w14:paraId="391DBF52">
      <w:pPr>
        <w:rPr>
          <w:rFonts w:hint="eastAsia" w:ascii="黑体" w:hAnsi="黑体" w:eastAsia="黑体" w:cs="黑体"/>
        </w:rPr>
        <w:sectPr>
          <w:headerReference r:id="rId3" w:type="default"/>
          <w:pgSz w:w="11906" w:h="16838"/>
          <w:pgMar w:top="426" w:right="1361" w:bottom="568" w:left="1361" w:header="287" w:footer="992" w:gutter="0"/>
          <w:cols w:space="720" w:num="1"/>
          <w:docGrid w:type="lines" w:linePitch="312" w:charSpace="0"/>
        </w:sectPr>
      </w:pPr>
    </w:p>
    <w:p w14:paraId="7194FD0B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数字经济学院课程2025-2026-1学期平时成绩考核方案</w:t>
      </w:r>
    </w:p>
    <w:p w14:paraId="22485353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493CFB34">
      <w:pPr>
        <w:spacing w:line="360" w:lineRule="auto"/>
        <w:rPr>
          <w:rFonts w:hint="eastAsia" w:ascii="黑体" w:hAnsi="黑体" w:eastAsia="黑体" w:cs="黑体"/>
          <w:b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1. 课程名称：中国东盟营销环境与策略                  课程性质：</w:t>
      </w:r>
      <w:r>
        <w:rPr>
          <w:rFonts w:hint="eastAsia" w:ascii="黑体" w:hAnsi="黑体" w:eastAsia="黑体" w:cs="黑体"/>
          <w:sz w:val="24"/>
        </w:rPr>
        <w:t>专业任选课</w:t>
      </w:r>
    </w:p>
    <w:p w14:paraId="6223CB35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2．期末考核方式： </w:t>
      </w:r>
      <w:r>
        <w:rPr>
          <w:rFonts w:hint="eastAsia" w:ascii="黑体" w:hAnsi="黑体" w:eastAsia="黑体" w:cs="黑体"/>
          <w:color w:val="000000"/>
          <w:sz w:val="24"/>
        </w:rPr>
        <w:t xml:space="preserve">考查，分组国别案例分析             </w:t>
      </w:r>
      <w:r>
        <w:rPr>
          <w:rFonts w:hint="eastAsia" w:ascii="黑体" w:hAnsi="黑体" w:eastAsia="黑体" w:cs="黑体"/>
          <w:b/>
          <w:color w:val="000000"/>
          <w:sz w:val="24"/>
        </w:rPr>
        <w:t>课程学时：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32 </w:t>
      </w:r>
      <w:r>
        <w:rPr>
          <w:rFonts w:hint="eastAsia" w:ascii="黑体" w:hAnsi="黑体" w:eastAsia="黑体" w:cs="黑体"/>
          <w:color w:val="000000"/>
          <w:sz w:val="24"/>
        </w:rPr>
        <w:t>学时；</w:t>
      </w:r>
    </w:p>
    <w:p w14:paraId="4A942E4D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3. 考核班级：24数字经济（营销）1班            任课教师：李林</w:t>
      </w:r>
    </w:p>
    <w:p w14:paraId="12553882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4. </w:t>
      </w:r>
      <w:r>
        <w:rPr>
          <w:rFonts w:hint="eastAsia" w:ascii="黑体" w:hAnsi="黑体" w:eastAsia="黑体" w:cs="黑体"/>
          <w:color w:val="000000"/>
          <w:sz w:val="24"/>
        </w:rPr>
        <w:t>平时成绩占总成绩的比例：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40 </w:t>
      </w:r>
      <w:r>
        <w:rPr>
          <w:rFonts w:hint="eastAsia" w:ascii="黑体" w:hAnsi="黑体" w:eastAsia="黑体" w:cs="黑体"/>
          <w:color w:val="000000"/>
          <w:sz w:val="24"/>
        </w:rPr>
        <w:t>%；期末测验占总成绩的比例：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60 </w:t>
      </w:r>
      <w:r>
        <w:rPr>
          <w:rFonts w:hint="eastAsia" w:ascii="黑体" w:hAnsi="黑体" w:eastAsia="黑体" w:cs="黑体"/>
          <w:color w:val="000000"/>
          <w:sz w:val="24"/>
        </w:rPr>
        <w:t>%；</w:t>
      </w:r>
    </w:p>
    <w:p w14:paraId="5EB7CD5D">
      <w:pPr>
        <w:numPr>
          <w:ilvl w:val="0"/>
          <w:numId w:val="2"/>
        </w:numPr>
        <w:spacing w:line="360" w:lineRule="auto"/>
        <w:jc w:val="left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平时成绩由课堂表现和作业成绩二部分组成：</w:t>
      </w:r>
      <w:bookmarkStart w:id="0" w:name="_GoBack"/>
      <w:bookmarkEnd w:id="0"/>
    </w:p>
    <w:p w14:paraId="3D62F186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</w:p>
    <w:p w14:paraId="30BD4A08">
      <w:pPr>
        <w:spacing w:line="360" w:lineRule="auto"/>
        <w:ind w:right="-24"/>
        <w:jc w:val="right"/>
        <w:rPr>
          <w:rFonts w:hint="eastAsia" w:ascii="黑体" w:hAnsi="黑体" w:eastAsia="黑体" w:cs="黑体"/>
          <w:color w:val="000000"/>
          <w:sz w:val="24"/>
        </w:rPr>
      </w:pPr>
    </w:p>
    <w:p w14:paraId="453657C2">
      <w:pPr>
        <w:rPr>
          <w:rFonts w:hint="eastAsia" w:ascii="黑体" w:hAnsi="黑体" w:eastAsia="黑体" w:cs="黑体"/>
        </w:rPr>
      </w:pPr>
    </w:p>
    <w:sectPr>
      <w:footerReference r:id="rId6" w:type="first"/>
      <w:footerReference r:id="rId4" w:type="default"/>
      <w:footerReference r:id="rId5" w:type="even"/>
      <w:pgSz w:w="11907" w:h="16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JP Regular">
    <w:altName w:val="Segoe Print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2DBA6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F6B99">
    <w:pPr>
      <w:framePr w:wrap="around" w:vAnchor="text" w:hAnchor="margin" w:xAlign="right" w:y="1"/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sz w:val="18"/>
        <w:szCs w:val="18"/>
      </w:rPr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Calibri" w:hAnsi="Calibri" w:eastAsia="宋体" w:cs="Times New Roman"/>
        <w:sz w:val="18"/>
        <w:szCs w:val="18"/>
      </w:rPr>
      <w:instrText xml:space="preserve">PAGE  </w:instrText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  <w:p w14:paraId="024D3013">
    <w:pPr>
      <w:tabs>
        <w:tab w:val="center" w:pos="4153"/>
        <w:tab w:val="right" w:pos="8306"/>
      </w:tabs>
      <w:snapToGrid w:val="0"/>
      <w:ind w:right="360"/>
      <w:jc w:val="left"/>
      <w:rPr>
        <w:rFonts w:ascii="Times New Roman" w:hAnsi="Times New Roman" w:eastAsia="宋体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5BE0F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  <w:r>
      <w:rPr>
        <w:rFonts w:hint="eastAsia" w:ascii="Times New Roman" w:hAnsi="Times New Roman" w:eastAsia="宋体" w:cs="Times New Roman"/>
        <w:sz w:val="18"/>
        <w:szCs w:val="18"/>
      </w:rPr>
      <w:t xml:space="preserve">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20594">
    <w:pPr>
      <w:tabs>
        <w:tab w:val="center" w:pos="4153"/>
        <w:tab w:val="right" w:pos="8306"/>
      </w:tabs>
      <w:snapToGrid w:val="0"/>
      <w:jc w:val="center"/>
      <w:rPr>
        <w:rFonts w:ascii="Times New Roman" w:hAnsi="Times New Roman" w:eastAsia="宋体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E0184"/>
    <w:multiLevelType w:val="multilevel"/>
    <w:tmpl w:val="0F2E0184"/>
    <w:lvl w:ilvl="0" w:tentative="0">
      <w:start w:val="1"/>
      <w:numFmt w:val="decimal"/>
      <w:lvlText w:val="%1."/>
      <w:lvlJc w:val="left"/>
      <w:pPr>
        <w:ind w:left="547" w:hanging="375"/>
        <w:jc w:val="left"/>
      </w:pPr>
      <w:rPr>
        <w:rFonts w:hint="default" w:ascii="Noto Sans CJK JP Regular" w:hAnsi="Noto Sans CJK JP Regular" w:eastAsia="Noto Sans CJK JP Regular" w:cs="Noto Sans CJK JP Regular"/>
        <w:w w:val="99"/>
        <w:sz w:val="28"/>
        <w:szCs w:val="2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40" w:hanging="37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41" w:hanging="37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41" w:hanging="37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2" w:hanging="37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43" w:hanging="37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3" w:hanging="37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44" w:hanging="37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5" w:hanging="375"/>
      </w:pPr>
      <w:rPr>
        <w:rFonts w:hint="default"/>
        <w:lang w:val="zh-CN" w:eastAsia="zh-CN" w:bidi="zh-CN"/>
      </w:rPr>
    </w:lvl>
  </w:abstractNum>
  <w:abstractNum w:abstractNumId="1">
    <w:nsid w:val="711F09C7"/>
    <w:multiLevelType w:val="multilevel"/>
    <w:tmpl w:val="711F09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M2YyZWYzZTgxMTNkYjExMGM5MTQ0NmY4OTViZmMifQ=="/>
  </w:docVars>
  <w:rsids>
    <w:rsidRoot w:val="785846BA"/>
    <w:rsid w:val="00035E12"/>
    <w:rsid w:val="000639B2"/>
    <w:rsid w:val="00071F1F"/>
    <w:rsid w:val="0008339D"/>
    <w:rsid w:val="00097646"/>
    <w:rsid w:val="000C6657"/>
    <w:rsid w:val="0014116C"/>
    <w:rsid w:val="0019771F"/>
    <w:rsid w:val="00220D14"/>
    <w:rsid w:val="002D1005"/>
    <w:rsid w:val="002D3E65"/>
    <w:rsid w:val="004B40D1"/>
    <w:rsid w:val="00511CDA"/>
    <w:rsid w:val="00522C06"/>
    <w:rsid w:val="00577DAA"/>
    <w:rsid w:val="00593529"/>
    <w:rsid w:val="005D5AA2"/>
    <w:rsid w:val="005F41FB"/>
    <w:rsid w:val="006A338A"/>
    <w:rsid w:val="006A4FF2"/>
    <w:rsid w:val="00711123"/>
    <w:rsid w:val="00722BC4"/>
    <w:rsid w:val="00752050"/>
    <w:rsid w:val="00776AE1"/>
    <w:rsid w:val="0092319C"/>
    <w:rsid w:val="00930DD5"/>
    <w:rsid w:val="009E31DB"/>
    <w:rsid w:val="009F4A93"/>
    <w:rsid w:val="00A87C82"/>
    <w:rsid w:val="00B47E43"/>
    <w:rsid w:val="00C10767"/>
    <w:rsid w:val="00C14C33"/>
    <w:rsid w:val="00C474BA"/>
    <w:rsid w:val="00D4569A"/>
    <w:rsid w:val="00F25810"/>
    <w:rsid w:val="0C3D118C"/>
    <w:rsid w:val="17F13C77"/>
    <w:rsid w:val="347B64AA"/>
    <w:rsid w:val="52E30C08"/>
    <w:rsid w:val="56EBDF12"/>
    <w:rsid w:val="57947CDD"/>
    <w:rsid w:val="59F79BFE"/>
    <w:rsid w:val="5E8C616D"/>
    <w:rsid w:val="60632909"/>
    <w:rsid w:val="61356E89"/>
    <w:rsid w:val="6A7E7526"/>
    <w:rsid w:val="6B62463B"/>
    <w:rsid w:val="6BFC9413"/>
    <w:rsid w:val="6DB41012"/>
    <w:rsid w:val="6F6FAD27"/>
    <w:rsid w:val="6FB3CB71"/>
    <w:rsid w:val="785846BA"/>
    <w:rsid w:val="7B3E72B7"/>
    <w:rsid w:val="7CFD4053"/>
    <w:rsid w:val="7FFFAB78"/>
    <w:rsid w:val="A7FF3464"/>
    <w:rsid w:val="EBB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587</Words>
  <Characters>621</Characters>
  <Lines>14</Lines>
  <Paragraphs>4</Paragraphs>
  <TotalTime>21</TotalTime>
  <ScaleCrop>false</ScaleCrop>
  <LinksUpToDate>false</LinksUpToDate>
  <CharactersWithSpaces>802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2025-02-22T18:13:00Z</dcterms:created>
  <dc:creator>郑璐璐璐璐璐璐</dc:creator>
  <cp:lastModifiedBy>仗义桃</cp:lastModifiedBy>
  <cp:lastPrinted>2025-08-31T01:22:00Z</cp:lastPrinted>
  <dcterms:modified xsi:type="dcterms:W3CDTF">2026-08-06T03:49:00Z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57414A1039750A8A93BE656AC6F8E8B3_43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