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0" w:line="240" w:lineRule="auto"/>
      </w:pPr>
    </w:p>
    <w:p>
      <w:pPr>
        <w:spacing w:before="0" w:after="360" w:line="240" w:lineRule="auto"/>
        <w:jc w:val="center"/>
      </w:pPr>
      <w:r>
        <w:rPr>
          <w:rFonts w:ascii="Calibri" w:hAnsi="Calibri" w:eastAsia="Microsoft YaHei"/>
          <w:b/>
          <w:color w:val="A77819"/>
          <w:sz w:val="22"/>
        </w:rPr>
        <w:t>STRATEGY &amp; TECHNOLOGY REPORT</w:t>
      </w:r>
    </w:p>
    <w:p>
      <w:pPr>
        <w:spacing w:before="0" w:after="200" w:line="240" w:lineRule="auto"/>
        <w:jc w:val="center"/>
      </w:pPr>
      <w:r>
        <w:rPr>
          <w:rFonts w:ascii="Calibri" w:hAnsi="Calibri" w:eastAsia="Microsoft YaHei"/>
          <w:b/>
          <w:color w:val="17365D"/>
          <w:sz w:val="56"/>
        </w:rPr>
        <w:t>英伟达40亿美元光通信投资</w:t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b/>
          <w:color w:val="1F4D78"/>
          <w:sz w:val="48"/>
        </w:rPr>
        <w:t>CPO产业深度研究</w:t>
      </w:r>
    </w:p>
    <w:p>
      <w:pPr>
        <w:spacing w:before="0" w:after="680" w:line="240" w:lineRule="auto"/>
        <w:jc w:val="center"/>
      </w:pPr>
      <w:r>
        <w:rPr>
          <w:rFonts w:ascii="Calibri" w:hAnsi="Calibri" w:eastAsia="Microsoft YaHei"/>
          <w:b w:val="0"/>
          <w:color w:val="5B6573"/>
          <w:sz w:val="27"/>
        </w:rPr>
        <w:t>从技术演进、产能锁定到头部厂商路线分化</w:t>
      </w:r>
    </w:p>
    <w:p>
      <w:pPr>
        <w:spacing w:before="0" w:after="1120" w:line="307" w:lineRule="auto"/>
        <w:ind w:left="893" w:right="893"/>
        <w:jc w:val="center"/>
        <w:shd w:fill="E8EEF5"/>
        <w:pBdr>
          <w:left w:val="single" w:sz="18" w:space="10" w:color="2E74B5"/>
        </w:pBdr>
      </w:pPr>
      <w:r>
        <w:rPr>
          <w:rFonts w:ascii="Calibri" w:hAnsi="Calibri" w:eastAsia="Microsoft YaHei"/>
          <w:b/>
          <w:color w:val="17365D"/>
          <w:sz w:val="24"/>
        </w:rPr>
        <w:t>核心命题：这不是一次单纯的财务投资，而是英伟达以资本、采购承诺和系统出货共同搭建CPO工业化闭环。</w:t>
      </w:r>
    </w:p>
    <w:p>
      <w:pPr>
        <w:spacing w:before="0" w:after="100" w:line="240" w:lineRule="auto"/>
        <w:jc w:val="center"/>
      </w:pPr>
      <w:r>
        <w:rPr>
          <w:rFonts w:ascii="Calibri" w:hAnsi="Calibri" w:eastAsia="Microsoft YaHei"/>
          <w:b/>
          <w:color w:val="202A33"/>
          <w:sz w:val="21"/>
        </w:rPr>
        <w:t>研究基准日：2026年8月11日</w:t>
      </w:r>
    </w:p>
    <w:p>
      <w:pPr>
        <w:spacing w:before="0" w:after="0" w:line="240" w:lineRule="auto"/>
        <w:jc w:val="center"/>
      </w:pPr>
      <w:r>
        <w:rPr>
          <w:rFonts w:ascii="Calibri" w:hAnsi="Calibri" w:eastAsia="Microsoft YaHei"/>
          <w:b w:val="0"/>
          <w:color w:val="5B6573"/>
          <w:sz w:val="19"/>
        </w:rPr>
        <w:t>证据范围：公司公告、SEC文件、产品技术资料、标准组织与行业技术综述</w:t>
      </w:r>
    </w:p>
    <w:p>
      <w:r>
        <w:br w:type="page"/>
      </w:r>
    </w:p>
    <w:p>
      <w:pPr>
        <w:pStyle w:val="Heading1"/>
        <w:keepNext/>
      </w:pPr>
      <w: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A77819"/>
          <w:left w:val="single" w:sz="6" w:space="0" w:color="A77819"/>
          <w:bottom w:val="single" w:sz="6" w:space="0" w:color="A77819"/>
          <w:right w:val="single" w:sz="6" w:space="0" w:color="A77819"/>
          <w:insideH w:val="single" w:sz="6" w:space="0" w:color="A77819"/>
          <w:insideV w:val="single" w:sz="6" w:space="0" w:color="A7781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C"/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A77819"/>
                <w:sz w:val="21"/>
              </w:rPr>
              <w:t xml:space="preserve">一句话结论  </w:t>
            </w:r>
            <w:r>
              <w:rPr>
                <w:rFonts w:ascii="Calibri" w:hAnsi="Calibri" w:eastAsia="Microsoft YaHei"/>
                <w:b w:val="0"/>
                <w:color w:val="202A33"/>
                <w:sz w:val="21"/>
              </w:rPr>
              <w:t>40亿美元股权投资的真正价值，在于把英伟达已量产的交换机CPO从“产品创新”推到“可持续供给”：以非排他的双源安排锁定高功率InP激光器和更广泛光网络产品，同时为下一代Scale-up光学I/O保留技术与产能选择权。[1]-[4]</w:t>
            </w:r>
          </w:p>
        </w:tc>
      </w:tr>
    </w:tbl>
    <w:p>
      <w:pPr>
        <w:spacing w:before="0" w:after="80" w:line="240" w:lineRule="auto"/>
      </w:pP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事实层：</w:t>
      </w:r>
      <w:r>
        <w:rPr>
          <w:rFonts w:ascii="Calibri" w:hAnsi="Calibri" w:eastAsia="Microsoft YaHei"/>
          <w:b w:val="0"/>
          <w:color w:val="202A33"/>
          <w:sz w:val="22"/>
        </w:rPr>
        <w:t>2026年3月2日，英伟达分别向Lumentum和Coherent投入20亿美元，合计40亿美元。Lumentum交易为可转换优先股，Coherent交易为普通股私募；两份合作均为非排他。[1]-[4]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合同层：</w:t>
      </w:r>
      <w:r>
        <w:rPr>
          <w:rFonts w:ascii="Calibri" w:hAnsi="Calibri" w:eastAsia="Microsoft YaHei"/>
          <w:b w:val="0"/>
          <w:color w:val="202A33"/>
          <w:sz w:val="22"/>
        </w:rPr>
        <w:t>股权投资之外，英伟达分别给出多年、金额为“多十亿美元”的采购承诺和未来产能访问权；精确采购总额、最低提货量与价格机制并未公开，不能与40亿美元股权投资合并为一个确定金额。[1][3]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技术层：</w:t>
      </w:r>
      <w:r>
        <w:rPr>
          <w:rFonts w:ascii="Calibri" w:hAnsi="Calibri" w:eastAsia="Microsoft YaHei"/>
          <w:b w:val="0"/>
          <w:color w:val="202A33"/>
          <w:sz w:val="22"/>
        </w:rPr>
        <w:t>CPO通过把光电转换移到交换ASIC封装附近，缩短200G SerDes电通道、减少DSP/均衡和连接器损耗。NVIDIA已采用200G PAM4微环调制器、外置可更换激光源和TSMC COUPE工艺，实现Spectrum-X/Quantum-X Photonics产品化。[5]-[9]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产业层：</w:t>
      </w:r>
      <w:r>
        <w:rPr>
          <w:rFonts w:ascii="Calibri" w:hAnsi="Calibri" w:eastAsia="Microsoft YaHei"/>
          <w:b w:val="0"/>
          <w:color w:val="202A33"/>
          <w:sz w:val="22"/>
        </w:rPr>
        <w:t>瓶颈从“能否做出硅光芯片”转向“高功率光源、良率、耦合、测试、散热和现场维护能否共同达标”。Lumentum偏上游InP光源与ELSFP，Coherent具备InP、SiPh、VCSEL、器件到系统的更宽技术栈；双源组合覆盖深度与广度。[10]-[12]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竞争层：</w:t>
      </w:r>
      <w:r>
        <w:rPr>
          <w:rFonts w:ascii="Calibri" w:hAnsi="Calibri" w:eastAsia="Microsoft YaHei"/>
          <w:b w:val="0"/>
          <w:color w:val="202A33"/>
          <w:sz w:val="22"/>
        </w:rPr>
        <w:t>Broadcom以多代商用交换CPO和merchant silicon领先制造学习曲线；NVIDIA用AI工厂全栈和采购规模形成系统闭环；Marvell与Intel更偏XPU光学I/O；Cisco以LPO/可插拔方案先行、CPO作为后续选项。[13]-[18]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判断层：</w:t>
      </w:r>
      <w:r>
        <w:rPr>
          <w:rFonts w:ascii="Calibri" w:hAnsi="Calibri" w:eastAsia="Microsoft YaHei"/>
          <w:b w:val="0"/>
          <w:color w:val="202A33"/>
          <w:sz w:val="22"/>
        </w:rPr>
        <w:t>2026-2027年CPO首先渗透高端Scale-out/Scale-across交换层；更大价值弹性来自2028年后光学进入Scale-up和XPU封装。可插拔与LPO不会消失，而会在成本、维护性更敏感的层级继续共存。[15][18][20]</w:t>
      </w:r>
    </w:p>
    <w:p>
      <w:r>
        <w:br w:type="page"/>
      </w:r>
    </w:p>
    <w:p>
      <w:pPr>
        <w:pStyle w:val="Heading1"/>
        <w:keepNext/>
      </w:pPr>
      <w:r>
        <w:t>1. 投资事件：先把三类承诺拆开</w:t>
      </w:r>
    </w:p>
    <w:p>
      <w:pPr>
        <w:pStyle w:val="Heading2"/>
        <w:keepNext/>
      </w:pPr>
      <w:r>
        <w:t>1.1 交易事实与法律形式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事件发生于2026年3月2日。英伟达同时宣布与Lumentum、Coherent建立多年战略合作，并分别投入20亿美元现金。两家供应商都获得研发和扩产资金，但证券形式不同：Lumentum发行2,876,415股A系列可转换优先股，单价695.31美元；Coherent发行7,788,161股普通股，单价256.80美元。两笔均为非公开发行。[1]-[4]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1400"/>
        <w:gridCol w:w="1050"/>
        <w:gridCol w:w="1800"/>
        <w:gridCol w:w="2400"/>
        <w:gridCol w:w="1940"/>
        <w:gridCol w:w="770"/>
      </w:tblGrid>
      <w:tr>
        <w:trPr>
          <w:tblHeader w:val="true"/>
          <w:cantSplit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标的</w:t>
            </w:r>
          </w:p>
        </w:tc>
        <w:tc>
          <w:tcPr>
            <w:tcW w:type="dxa" w:w="1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股权资金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证券形式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采购/产能安排</w:t>
            </w:r>
          </w:p>
        </w:tc>
        <w:tc>
          <w:tcPr>
            <w:tcW w:type="dxa" w:w="19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资金用途</w:t>
            </w:r>
          </w:p>
        </w:tc>
        <w:tc>
          <w:tcPr>
            <w:tcW w:type="dxa" w:w="77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Lumentum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20亿美元现金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A系列可转换优先股；2,876,415股；695.31美元/股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多年、非排他；多十亿美元采购承诺；先进激光器产能访问权</w:t>
            </w:r>
          </w:p>
        </w:tc>
        <w:tc>
          <w:tcPr>
            <w:tcW w:type="dxa" w:w="1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美国新建/改造InP制造能力，支持研发与未来产能</w:t>
            </w:r>
          </w:p>
        </w:tc>
        <w:tc>
          <w:tcPr>
            <w:tcW w:type="dxa" w:w="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[1][2]</w:t>
            </w:r>
          </w:p>
        </w:tc>
      </w:tr>
      <w:tr>
        <w:trPr>
          <w:cantSplit/>
        </w:trPr>
        <w:tc>
          <w:tcPr>
            <w:tcW w:type="dxa" w:w="1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Coherent</w:t>
            </w:r>
          </w:p>
        </w:tc>
        <w:tc>
          <w:tcPr>
            <w:tcW w:type="dxa" w:w="10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20亿美元现金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普通股；7,788,161股；256.80美元/股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多年、非排他；多十亿美元采购承诺；先进激光及光网络产品产能权；新增五个CPO相关产品族访问</w:t>
            </w:r>
          </w:p>
        </w:tc>
        <w:tc>
          <w:tcPr>
            <w:tcW w:type="dxa" w:w="19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扩大美国制造、研发、未来产能和运营能力</w:t>
            </w:r>
          </w:p>
        </w:tc>
        <w:tc>
          <w:tcPr>
            <w:tcW w:type="dxa" w:w="77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[3][4]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80" w:line="240" w:lineRule="auto"/>
      </w:pPr>
      <w:r>
        <w:rPr>
          <w:rFonts w:ascii="Calibri" w:hAnsi="Calibri" w:eastAsia="Microsoft YaHei"/>
          <w:b w:val="0"/>
          <w:color w:val="5B6573"/>
          <w:sz w:val="17"/>
        </w:rPr>
        <w:t>资料来源：NVIDIA与两家供应商公告、SEC 8-K。[1]-[4]</w:t>
      </w:r>
    </w:p>
    <w:p>
      <w:pPr>
        <w:pStyle w:val="Heading2"/>
        <w:keepNext/>
      </w:pPr>
      <w:r>
        <w:t>1.2 三条资金线不能合并计算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9B1C1C"/>
          <w:left w:val="single" w:sz="6" w:space="0" w:color="9B1C1C"/>
          <w:bottom w:val="single" w:sz="6" w:space="0" w:color="9B1C1C"/>
          <w:right w:val="single" w:sz="6" w:space="0" w:color="9B1C1C"/>
          <w:insideH w:val="single" w:sz="6" w:space="0" w:color="9B1C1C"/>
          <w:insideV w:val="single" w:sz="6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口径提醒  </w:t>
            </w:r>
            <w:r>
              <w:rPr>
                <w:rFonts w:ascii="Calibri" w:hAnsi="Calibri" w:eastAsia="Microsoft YaHei"/>
                <w:b w:val="0"/>
                <w:color w:val="202A33"/>
                <w:sz w:val="21"/>
              </w:rPr>
              <w:t>已确认的40亿美元是股权投资。两份采购承诺分别只披露为“multi-billion”，精确金额、期限、take-or-pay条款和价格公式未公开；供应商后续资本开支也未披露与英伟达资金的一一对应关系。</w:t>
            </w:r>
          </w:p>
        </w:tc>
      </w:tr>
    </w:tbl>
    <w:p>
      <w:pPr>
        <w:spacing w:before="0" w:after="80" w:line="240" w:lineRule="auto"/>
      </w:pP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股权资金：</w:t>
      </w:r>
      <w:r>
        <w:rPr>
          <w:rFonts w:ascii="Calibri" w:hAnsi="Calibri" w:eastAsia="Microsoft YaHei"/>
          <w:b w:val="0"/>
          <w:color w:val="202A33"/>
          <w:sz w:val="22"/>
        </w:rPr>
        <w:t>确定金额40亿美元，形成长期利益绑定，但不是对两家公司的收购。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商业订单：</w:t>
      </w:r>
      <w:r>
        <w:rPr>
          <w:rFonts w:ascii="Calibri" w:hAnsi="Calibri" w:eastAsia="Microsoft YaHei"/>
          <w:b w:val="0"/>
          <w:color w:val="202A33"/>
          <w:sz w:val="22"/>
        </w:rPr>
        <w:t>两份多年采购承诺带来需求可见度和未来产能优先权，但公开材料不足以计算合计合同额。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供应端资本开支：</w:t>
      </w:r>
      <w:r>
        <w:rPr>
          <w:rFonts w:ascii="Calibri" w:hAnsi="Calibri" w:eastAsia="Microsoft YaHei"/>
          <w:b w:val="0"/>
          <w:color w:val="202A33"/>
          <w:sz w:val="22"/>
        </w:rPr>
        <w:t>Lumentum与Coherent将资金用于研发、产能与运营；扩产节奏、良率和客户验收决定最终收入兑现。</w:t>
      </w:r>
    </w:p>
    <w:p>
      <w:pPr>
        <w:pStyle w:val="Heading2"/>
        <w:keepNext/>
      </w:pPr>
      <w:r>
        <w:t>1.3 为什么是“各投20亿美元+非排他”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从协议结构看，英伟达追求的不是单一供应商独占，而是同时获得两条独立的光源与光网络供给通道。非排他条款保留生态开放性，双供应商安排降低单点失效；股权让供应商敢于提前扩产，采购承诺则把需求端风险部分转回英伟达。这个组合更接近“用资产负债表换供应链确定性”，而不是传统的短期采购。[1]-[4]（分析推断）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选择美国制造还有第二层含义：CPO光源与封装直接影响AI网络可用性，已从普通元器件升级为关键基础设施。Lumentum于3月26日宣布在北卡罗来纳州Greensboro建设24万平方英尺、采用6英寸InP晶圆的工厂，预计2028年中爬坡；Coherent随后继续强化美国6英寸InP平台。英伟达5月又与Corning签署长期合作，后者计划将美国光连接产能扩大10倍，说明其锁定的不只是激光器，而是从光源到光纤连接的整条链路。[10][22][24]</w:t>
      </w:r>
    </w:p>
    <w:p>
      <w:pPr>
        <w:pStyle w:val="Heading1"/>
        <w:keepNext/>
      </w:pPr>
      <w:r>
        <w:t>2. CPO技术演进：为何光必须向计算靠近</w:t>
      </w:r>
    </w:p>
    <w:p>
      <w:pPr>
        <w:pStyle w:val="Heading2"/>
        <w:keepNext/>
      </w:pPr>
      <w:r>
        <w:t>2.1 核心矛盾不是“光快”，而是电通道越来越贵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传统交换机把交换ASIC放在主板中央，把可插拔光模块放在前面板。高速信号需要穿过封装、长PCB走线和连接器后才进入模块；在200Gb/s通道上，NVIDIA给出的链路损耗示意最高可达22dB，必须依靠更强SerDes、均衡、retimer和模块DSP补偿。随着交换容量从51.2Tb/s向102.4Tb/s跃迁，这些电气补偿同时消耗功率、散热空间和前面板密度。[7][9]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IEEE EPS技术综述引用的系统估算显示，在51.2T交换系统中，光互连可接近系统功耗的一半，并占据更高比例的系统成本。该数字是架构估算而非统一行业实测，但方向明确：继续把光电转换留在前面板，会让“搬运比特”侵蚀用于计算的电力预算。[21]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2359152"/>
            <wp:docPr id="1" name="Picture 1" descr="图1  光互连集成位置的演进逻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o_ev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 w:line="240" w:lineRule="auto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图1  光互连集成位置的演进逻辑</w:t>
      </w:r>
    </w:p>
    <w:p>
      <w:pPr>
        <w:spacing w:before="0" w:after="120" w:line="240" w:lineRule="auto"/>
        <w:jc w:val="center"/>
      </w:pPr>
      <w:r>
        <w:rPr>
          <w:rFonts w:ascii="Calibri" w:hAnsi="Calibri" w:eastAsia="Microsoft YaHei"/>
          <w:b w:val="0"/>
          <w:color w:val="5B6573"/>
          <w:sz w:val="16"/>
        </w:rPr>
        <w:t>资料来源：基于NVIDIA、IEEE EPS、OIF及各厂商公开技术资料整理。[7][20][21]</w:t>
      </w:r>
    </w:p>
    <w:p>
      <w:pPr>
        <w:pStyle w:val="Heading2"/>
        <w:keepNext/>
      </w:pPr>
      <w:r>
        <w:t>2.2 四阶段演进及各自边界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1450"/>
        <w:gridCol w:w="1800"/>
        <w:gridCol w:w="1100"/>
        <w:gridCol w:w="1200"/>
        <w:gridCol w:w="3810"/>
      </w:tblGrid>
      <w:tr>
        <w:trPr>
          <w:tblHeader w:val="true"/>
          <w:cantSplit/>
        </w:trPr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架构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光电转换位置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可维护性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能效/密度潜力</w:t>
            </w:r>
          </w:p>
        </w:tc>
        <w:tc>
          <w:tcPr>
            <w:tcW w:type="dxa" w:w="3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适用与约束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可插拔DSP光模块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前面板模块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最高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最低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最成熟、最易替换；但高带宽下DSP/SerDes功耗和面板密度承压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LPO / LRO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前面板，减少模块DSP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高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中</w:t>
            </w:r>
          </w:p>
        </w:tc>
        <w:tc>
          <w:tcPr>
            <w:tcW w:type="dxa" w:w="38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保留可维护性，依赖主芯片模拟链路和端到端协同；对通道损耗更敏感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NPO / OBO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板上或封装附近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中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中高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缩短电路径但仍保留一定模块边界，是向CPO过渡的折中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交换机CPO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交换ASIC同封装/同基板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激光源可更换；光引擎较难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高</w:t>
            </w:r>
          </w:p>
        </w:tc>
        <w:tc>
          <w:tcPr>
            <w:tcW w:type="dxa" w:w="38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适合高端Scale-out/Scale-across；包装、良率、散热、现场维修成为核心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XPU光学I/O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CPU/GPU/XPU封装内或邻近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最低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最高潜力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面向Scale-up；可把铜连接距离瓶颈推远，但对芯粒接口和封装生态要求最高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80" w:line="240" w:lineRule="auto"/>
      </w:pPr>
      <w:r>
        <w:rPr>
          <w:rFonts w:ascii="Calibri" w:hAnsi="Calibri" w:eastAsia="Microsoft YaHei"/>
          <w:b w:val="0"/>
          <w:color w:val="5B6573"/>
          <w:sz w:val="17"/>
        </w:rPr>
        <w:t>资料来源：OIF共封装框架与3.2T模块IA、IEEE EPS技术综述、Cisco/Marvell/Intel路线资料。[15][16][18][20][21]</w:t>
      </w:r>
    </w:p>
    <w:p>
      <w:pPr>
        <w:pStyle w:val="Heading2"/>
        <w:keepNext/>
      </w:pPr>
      <w:r>
        <w:t>2.3 CPO系统的六个关键模块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交换或计算ASIC：提供高速SerDes、协议处理与系统控制，是封装热源中心。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PIC（光子集成电路）：承载调制器、波导、复用/解复用和光探测器；硅光便于CMOS规模制造。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EIC（电子集成电路）：集成Driver、TIA、控制与监测；与PIC的短连接决定能效与信号完整性。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外置激光源ELS/ELSFP：把最容易老化、最怕热的III-V激光器移出主封装，既减热又便于现场更换。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先进封装与测试：包括2.5D/3D集成、基板、光纤阵列耦合、Known-Good-Die测试与整机老化。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连接与系统工程：可拆卸光纤连接器、纤缆路由、液冷/风冷、诊断和冗余决定数据中心可运维性。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硅本身不是高效发光材料，因此“硅光CPO”并不等于激光器也由硅制造。NVIDIA的微环调制器负责把外部连续光调制成200G PAM4信号；Lumentum和Coherent的InP连续波高功率激光器则提供稳定光源。把激光器外置，是当前CPO在集成度与维修性之间最关键的工程折中。[6][11][12]</w:t>
      </w:r>
    </w:p>
    <w:p>
      <w:pPr>
        <w:pStyle w:val="Heading2"/>
        <w:keepNext/>
      </w:pPr>
      <w:r>
        <w:t>2.4 技术收益与代价同时上升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1200"/>
        <w:gridCol w:w="3600"/>
        <w:gridCol w:w="45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CPO收益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新增代价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功耗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去掉或弱化模块DSP、缩短SerDes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主ASIC与光引擎热耦合；节能口径依赖比较对象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带宽密度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光纤直接从封装引出，突破面板电连接器限制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纤缆路由、连接器数量和装配精度显著增加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可靠性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减少连接器和独立模块，降低link flap来源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一个光引擎缺陷可能牵连昂贵交换ASIC；必须强化KGD和冗余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成本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减少DSP、高速PCB和连接器，长期降低$/bit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早期良率、封装设备与测试摊销高，规模不足时未必更便宜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维护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外置激光和可拆卸光纤缓解维修风险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光引擎通常不具备传统OSFP级别的即插即换能力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80" w:line="240" w:lineRule="auto"/>
      </w:pPr>
      <w:r>
        <w:rPr>
          <w:rFonts w:ascii="Calibri" w:hAnsi="Calibri" w:eastAsia="Microsoft YaHei"/>
          <w:b w:val="0"/>
          <w:color w:val="5B6573"/>
          <w:sz w:val="17"/>
        </w:rPr>
        <w:t>资料来源：NVIDIA、Broadcom、OIF与IEEE EPS公开技术资料。[6][7][13][20][21]</w:t>
      </w:r>
    </w:p>
    <w:p>
      <w:pPr>
        <w:pStyle w:val="Heading1"/>
        <w:keepNext/>
      </w:pPr>
      <w:r>
        <w:t>3. NVIDIA战略与产品矩阵：从交换机CPO到光学I/O期权</w:t>
      </w:r>
    </w:p>
    <w:p>
      <w:pPr>
        <w:pStyle w:val="Heading2"/>
        <w:keepNext/>
      </w:pPr>
      <w:r>
        <w:t>3.1 产品化节奏已经越过概念验证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NVIDIA在GTC 2025公布Spectrum-X Photonics以太网与Quantum-X Photonics InfiniBand交换机。初始产品定义包括100Tb/s与400Tb/s级Spectrum-X配置，以及144端口800Gb/s的Quantum-X；核心共同点是200Gb/s SerDes、硅光引擎和外置激光源。[5]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1700"/>
        <w:gridCol w:w="1500"/>
        <w:gridCol w:w="2500"/>
        <w:gridCol w:w="1600"/>
        <w:gridCol w:w="206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平台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网络位置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公开规格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商业化状态</w:t>
            </w:r>
          </w:p>
        </w:tc>
        <w:tc>
          <w:tcPr>
            <w:tcW w:type="dxa" w:w="2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战略作用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Quantum-X Photonics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InfiniBand Scale-out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144×800Gb/s；200G SerDes；液冷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2025公告称当年后续供货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专有计算网络、低延迟与高规模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Spectrum-X Photonics（首发）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Ethernet Scale-out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100Tb/s：128×800G或512×200G；400Tb/s：512×800G或2,048×200G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2026从系统厂商供货</w:t>
            </w:r>
          </w:p>
        </w:tc>
        <w:tc>
          <w:tcPr>
            <w:tcW w:type="dxa" w:w="2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开放以太网市场的AI优化交换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Spectrum-6 / Spectrum-X Ethernet Photonics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Vera Rubin Scale-out / Scale-across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单芯片102.4Tb/s；32个3.2T硅光引擎；200G PAM4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2026年已宣布量产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把CPO纳入整套Rubin AI工厂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80" w:line="240" w:lineRule="auto"/>
      </w:pPr>
      <w:r>
        <w:rPr>
          <w:rFonts w:ascii="Calibri" w:hAnsi="Calibri" w:eastAsia="Microsoft YaHei"/>
          <w:b w:val="0"/>
          <w:color w:val="5B6573"/>
          <w:sz w:val="17"/>
        </w:rPr>
        <w:t>资料来源：NVIDIA产品公告与技术博客。[5][8][9]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到2026年7月，NVIDIA宣布Spectrum-X Ethernet Photonics进入量产，并给出相对于传统收发模块网络的5倍功效、5倍AI运行时间和1.3倍部署速度等厂商口径指标；CoreWeave、Lambda和Oracle Cloud Infrastructure被列为首批生态伙伴/采用者。[8] 这些指标说明CPO已进入客户验证和产能放大阶段，但因比较基线不同，不应与Broadcom或Cisco的节能百分比直接横向相除。</w:t>
      </w:r>
    </w:p>
    <w:p>
      <w:pPr>
        <w:pStyle w:val="Heading2"/>
        <w:keepNext/>
      </w:pPr>
      <w:r>
        <w:t>3.2 技术栈的控制点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1400"/>
        <w:gridCol w:w="1800"/>
        <w:gridCol w:w="3500"/>
        <w:gridCol w:w="2660"/>
      </w:tblGrid>
      <w:tr>
        <w:trPr>
          <w:tblHeader w:val="true"/>
          <w:cantSplit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层级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主要角色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能力</w:t>
            </w:r>
          </w:p>
        </w:tc>
        <w:tc>
          <w:tcPr>
            <w:tcW w:type="dxa" w:w="2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战略含义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系统与需求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NVIDIA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AI工厂架构、Spectrum/Quantum交换、网络软件、客户导入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决定规格、出货节奏和采购规模</w:t>
            </w:r>
          </w:p>
        </w:tc>
      </w:tr>
      <w:tr>
        <w:trPr>
          <w:cantSplit/>
        </w:trPr>
        <w:tc>
          <w:tcPr>
            <w:tcW w:type="dxa" w:w="1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交换ASIC与光引擎设计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NVIDIA + TSMC</w:t>
            </w:r>
          </w:p>
        </w:tc>
        <w:tc>
          <w:tcPr>
            <w:tcW w:type="dxa" w:w="3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200G PAM4微环调制器；COUPE硅光工艺；3D集成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带宽密度与热稳定性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激光器/ELS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Lumentum、Coherent、TFC等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高功率InP CW/UHP激光器、外置可更换模块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本次投资的首要产能锁定点</w:t>
            </w:r>
          </w:p>
        </w:tc>
      </w:tr>
      <w:tr>
        <w:trPr>
          <w:cantSplit/>
        </w:trPr>
        <w:tc>
          <w:tcPr>
            <w:tcW w:type="dxa" w:w="1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封装与测试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SPIL、Foxconn、Fabrinet等</w:t>
            </w:r>
          </w:p>
        </w:tc>
        <w:tc>
          <w:tcPr>
            <w:tcW w:type="dxa" w:w="3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芯片级封装、微米级光电装配、系统验证</w:t>
            </w:r>
          </w:p>
        </w:tc>
        <w:tc>
          <w:tcPr>
            <w:tcW w:type="dxa" w:w="2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决定良率和单位成本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光纤与连接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Corning、SENKO、Sumitomo等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光纤、连接器、面板到封装布线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决定装配、损耗和现场可靠性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80" w:line="240" w:lineRule="auto"/>
      </w:pPr>
      <w:r>
        <w:rPr>
          <w:rFonts w:ascii="Calibri" w:hAnsi="Calibri" w:eastAsia="Microsoft YaHei"/>
          <w:b w:val="0"/>
          <w:color w:val="5B6573"/>
          <w:sz w:val="17"/>
        </w:rPr>
        <w:t>资料来源：NVIDIA CPO技术资料、2025/2026生态公告。[5][6][8][22]</w:t>
      </w:r>
    </w:p>
    <w:p>
      <w:pPr>
        <w:pStyle w:val="Heading2"/>
        <w:keepNext/>
      </w:pPr>
      <w:r>
        <w:t>3.3 为什么投资Lumentum和Coherent，而不是只向TSMC下单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光源是硅光的异质材料短板：</w:t>
      </w:r>
      <w:r>
        <w:rPr>
          <w:rFonts w:ascii="Calibri" w:hAnsi="Calibri" w:eastAsia="Microsoft YaHei"/>
          <w:b w:val="0"/>
          <w:color w:val="202A33"/>
          <w:sz w:val="22"/>
        </w:rPr>
        <w:t>微环调制器可以在硅光平台规模制造，但稳定高功率激光仍依赖InP工艺，且必须在高温下维持功率、线宽和低噪声。[6][11]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扩产周期长：</w:t>
      </w:r>
      <w:r>
        <w:rPr>
          <w:rFonts w:ascii="Calibri" w:hAnsi="Calibri" w:eastAsia="Microsoft YaHei"/>
          <w:b w:val="0"/>
          <w:color w:val="202A33"/>
          <w:sz w:val="22"/>
        </w:rPr>
        <w:t>新InP厂、外延、晶圆、封装和可靠性认证需要多年。Lumentum新厂预计2028年中爬坡，恰好对应更大规模的200G/400G每通道与XPU光学I/O需求。[10][23]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供应商能力互补：</w:t>
      </w:r>
      <w:r>
        <w:rPr>
          <w:rFonts w:ascii="Calibri" w:hAnsi="Calibri" w:eastAsia="Microsoft YaHei"/>
          <w:b w:val="0"/>
          <w:color w:val="202A33"/>
          <w:sz w:val="22"/>
        </w:rPr>
        <w:t>Lumentum在高功率CW/UHP激光器和ELSFP上更聚焦；Coherent同时覆盖InP激光、硅光、VCSEL、调制器、驱动/TIA、光纤阵列和系统，可适配多种CPO架构。[11][12]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资本与订单同时降低扩产风险：</w:t>
      </w:r>
      <w:r>
        <w:rPr>
          <w:rFonts w:ascii="Calibri" w:hAnsi="Calibri" w:eastAsia="Microsoft YaHei"/>
          <w:b w:val="0"/>
          <w:color w:val="202A33"/>
          <w:sz w:val="22"/>
        </w:rPr>
        <w:t>股权资金承担前期投入，采购承诺给出需求可见度，产能访问权保证英伟达在供不应求时仍有优先级。[1][3]（分析推断）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为计算芯片光学I/O保留选择权：</w:t>
      </w:r>
      <w:r>
        <w:rPr>
          <w:rFonts w:ascii="Calibri" w:hAnsi="Calibri" w:eastAsia="Microsoft YaHei"/>
          <w:b w:val="0"/>
          <w:color w:val="202A33"/>
          <w:sz w:val="22"/>
        </w:rPr>
        <w:t>协议覆盖“下一代AI基础设施和系统设计”，Coherent更明确扩大到五个CPO相关产品族。其价值不止当前交换机CPO，也包括未来Scale-up架构。[3][4]（分析推断）</w:t>
      </w:r>
    </w:p>
    <w:p>
      <w:pPr>
        <w:pStyle w:val="Heading2"/>
        <w:keepNext/>
      </w:pPr>
      <w:r>
        <w:t>3.4 两家标的的分工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1500"/>
        <w:gridCol w:w="3930"/>
        <w:gridCol w:w="393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Lumentum</w:t>
            </w:r>
          </w:p>
        </w:tc>
        <w:tc>
          <w:tcPr>
            <w:tcW w:type="dxa" w:w="39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Coherent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技术重心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InP CW/UHP/SHP激光、ELSFP、EML；偏关键光源深度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InP激光、SiPh、VCSEL、InP-on-Si、驱动/TIA、光纤与系统；偏垂直栈广度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2026公开进展</w:t>
            </w:r>
          </w:p>
        </w:tc>
        <w:tc>
          <w:tcPr>
            <w:tcW w:type="dxa" w:w="39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1310nm SHP激光在50°C超过800mW；16通道DWDM光源；北卡6英寸InP厂预计2028年中爬坡</w:t>
            </w:r>
          </w:p>
        </w:tc>
        <w:tc>
          <w:tcPr>
            <w:tcW w:type="dxa" w:w="39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6.4T（32×200G）socketed SiPh CPO+自有ELS；多模VCSEL CPO；400G/lane InP-on-Si演示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对NVIDIA的价值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提供可规模扩张的高功率外置激光源，降低上游单点风险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提供多架构、多产品族共同开发与更宽的光网络供给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主要执行风险</w:t>
            </w:r>
          </w:p>
        </w:tc>
        <w:tc>
          <w:tcPr>
            <w:tcW w:type="dxa" w:w="39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新厂爬坡、良率、客户需求节奏与高温可靠性</w:t>
            </w:r>
          </w:p>
        </w:tc>
        <w:tc>
          <w:tcPr>
            <w:tcW w:type="dxa" w:w="39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产品线广、集成复杂；不同架构的资源配置与量产选择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80" w:line="240" w:lineRule="auto"/>
      </w:pPr>
      <w:r>
        <w:rPr>
          <w:rFonts w:ascii="Calibri" w:hAnsi="Calibri" w:eastAsia="Microsoft YaHei"/>
          <w:b w:val="0"/>
          <w:color w:val="5B6573"/>
          <w:sz w:val="17"/>
        </w:rPr>
        <w:t>资料来源：Lumentum与Coherent公告、产品资料及SEC文件。[4][10]-[12][23]</w:t>
      </w:r>
    </w:p>
    <w:p>
      <w:pPr>
        <w:pStyle w:val="Heading1"/>
        <w:keepNext/>
      </w:pPr>
      <w:r>
        <w:t>4. 头部厂商路线对比：竞争焦点是“光放在哪里”</w:t>
      </w:r>
    </w:p>
    <w:p>
      <w:pPr>
        <w:pStyle w:val="Heading2"/>
        <w:keepNext/>
      </w:pPr>
      <w:r>
        <w:t>4.1 六家公司的路线差异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900"/>
        <w:gridCol w:w="1450"/>
        <w:gridCol w:w="1900"/>
        <w:gridCol w:w="1450"/>
        <w:gridCol w:w="1900"/>
        <w:gridCol w:w="17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厂商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集成锚点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技术/光源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商业化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优势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约束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5"/>
              </w:rPr>
              <w:t>NVIDIA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交换机CPO，纳入AI工厂全栈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200G PAM4微环SiPh；外置可换激光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Spectrum-X量产；Quantum-X/生态导入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GPU需求+网络软件+系统规模；用资本锁光源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尚未公开量产XPU光学I/O；生态协同复杂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5"/>
              </w:rPr>
              <w:t>Broadcom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merchant switch ASIC CPO，并延伸XPU光引擎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TH6-Davisson 16×6.4T；200G/lane；ELSFP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多代出货/采样，制造学习曲线最深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交换硅、SerDes、光引擎与自动化制造一体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主要依赖客户系统集成，缺少NVIDIA式计算平台闭环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5"/>
              </w:rPr>
              <w:t>Marvell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定制XPU CPO，直接面向Scale-up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6.4T 3D SiPho，32×200G；同封装XPU/HBM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客户评估/下一代定制设计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定制ASIC、SerDes、DSP和SiPh组合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商业化随客户tape-out，周期长、项目集中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5"/>
              </w:rPr>
              <w:t>Intel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OCI光学I/O chiplet，可配CPU/GPU/IPU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4Tb/s双向；64×32G/方向；集成激光；约5pJ/bit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原型与选定客户合作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硅光量产与混合集成激光经验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产品化和生态落地节奏仍待验证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5"/>
              </w:rPr>
              <w:t>Cisco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以LPO/1.6T可插拔先行，CPO开放生态储备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G300 102.4T；800G LPO；多源SiPh/激光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系统已发布；CPO仍以演示/路线承诺为主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系统运维、开放多源、企业/运营商渠道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极限能效低于深度CPO；路线更保守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5"/>
              </w:rPr>
              <w:t>AMD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收购Enosemi补齐SiPh设计/IP/软件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面向下一代AI系统的多种CPO方案</w:t>
            </w:r>
          </w:p>
        </w:tc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战略布局，公开产品细节有限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GPU/XPU平台可形成需求牵引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5"/>
              </w:rPr>
              <w:t>规格、量产时间与供应链尚未充分披露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80" w:line="240" w:lineRule="auto"/>
      </w:pPr>
      <w:r>
        <w:rPr>
          <w:rFonts w:ascii="Calibri" w:hAnsi="Calibri" w:eastAsia="Microsoft YaHei"/>
          <w:b w:val="0"/>
          <w:color w:val="5B6573"/>
          <w:sz w:val="17"/>
        </w:rPr>
        <w:t>资料来源：各公司官方产品公告与技术资料。[5][8][9][13][15]-[19]</w:t>
      </w:r>
    </w:p>
    <w:p>
      <w:pPr>
        <w:pStyle w:val="Heading2"/>
        <w:keepNext/>
      </w:pPr>
      <w:r>
        <w:t>4.2 Broadcom与NVIDIA：最接近的正面对比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Broadcom的优势是“先做多代制造平台，再扩展带宽”。TH5-Bailly把8个6.4T光引擎与51.2T Tomahawk 5集成；TH6-Davisson进一步做到102.4T、16个6.4T光引擎和200G/lane，并保留现场可替换ELSFP。Broadcom称光互连功耗比传统可插拔低70%，同时已在开发400G/lane第四代CPO。[13][14]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NVIDIA的差异不是更早，而是把CPO与GPU、NVLink/InfiniBand/Ethernet、网络软件和Rubin系统绑定。它可以把客户的AI工厂需求直接变成上游激光器与连接器的采购规模，并用投资降低供应商扩产风险。Broadcom更像“开放merchant silicon平台”，NVIDIA更像“全栈系统+受控生态”。两者都使用TSMC COUPE和外置激光，说明关键工艺可能趋同，竞争将落到系统效率、良率、软件和出货规模。[6][8][13]</w:t>
      </w:r>
    </w:p>
    <w:p>
      <w:pPr>
        <w:pStyle w:val="Heading2"/>
        <w:keepNext/>
      </w:pPr>
      <w:r>
        <w:t>4.3 Marvell/Intel：从交换CPO跨向XPU光学I/O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Marvell把6.4T 3D SiPho engine与定制XPU、HBM和其他chiplet放在同一基板，目标是把Scale-up域从单机架几十颗XPU扩展到跨机架数百颗。其公开指标为32条200G电/光接口，较100G代际带宽和I/O密度翻倍、每比特功耗下降30%；但公开状态仍是客户评估。[15]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Intel OCI则强调通用光学I/O chiplet：原型支持每方向64×32Gb/s、最远100米、4Tb/s双向传输，约5pJ/bit，并将InP激光与硅光平台直接集成。它展示了未来CPU/GPU封装的形态，但链路速度、生态接口和产品化进度与当前交换CPO并不在同一阶段。[16]</w:t>
      </w:r>
    </w:p>
    <w:p>
      <w:pPr>
        <w:pStyle w:val="Heading2"/>
        <w:keepNext/>
      </w:pPr>
      <w:r>
        <w:t>4.4 Cisco：用可插拔路线延后不可逆的系统承诺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Cisco在2026年发布102.4T Silicon One G300系统时，主推800G LPO与1.6T可插拔光学；其公开材料给出LPO模块功耗较传统retimed模块低50%、整机功耗低30%的演示口径。同时Cisco保留CPO研发，并强调多晶圆厂、多光引擎和多地域供应。该路线牺牲部分极限能效，换取标准化、现场维护和升级弹性，适合企业与运营商客户。[17][18]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0D6B78"/>
          <w:left w:val="single" w:sz="6" w:space="0" w:color="0D6B78"/>
          <w:bottom w:val="single" w:sz="6" w:space="0" w:color="0D6B78"/>
          <w:right w:val="single" w:sz="6" w:space="0" w:color="0D6B78"/>
          <w:insideH w:val="single" w:sz="6" w:space="0" w:color="0D6B78"/>
          <w:insideV w:val="single" w:sz="6" w:space="0" w:color="0D6B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D6B78"/>
                <w:sz w:val="21"/>
              </w:rPr>
              <w:t xml:space="preserve">竞争结论  </w:t>
            </w:r>
            <w:r>
              <w:rPr>
                <w:rFonts w:ascii="Calibri" w:hAnsi="Calibri" w:eastAsia="Microsoft YaHei"/>
                <w:b w:val="0"/>
                <w:color w:val="202A33"/>
                <w:sz w:val="21"/>
              </w:rPr>
              <w:t>CPO不是“先进/落后”的单维度竞赛。不同厂商是在能效、可维护性、生态开放、上市时间和客户控制力之间选择不同前沿。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</w:pPr>
      <w:r>
        <w:t>5. 产业链与价值重分配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3080004"/>
            <wp:docPr id="2" name="Picture 2" descr="图2  CPO产业链与价值迁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o_ch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8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 w:line="240" w:lineRule="auto"/>
        <w:jc w:val="center"/>
      </w:pPr>
      <w:r>
        <w:rPr>
          <w:rFonts w:ascii="Calibri" w:hAnsi="Calibri" w:eastAsia="Microsoft YaHei"/>
          <w:b/>
          <w:color w:val="1F4D78"/>
          <w:sz w:val="18"/>
        </w:rPr>
        <w:t>图2  CPO产业链与价值迁移</w:t>
      </w:r>
    </w:p>
    <w:p>
      <w:pPr>
        <w:spacing w:before="0" w:after="120" w:line="240" w:lineRule="auto"/>
        <w:jc w:val="center"/>
      </w:pPr>
      <w:r>
        <w:rPr>
          <w:rFonts w:ascii="Calibri" w:hAnsi="Calibri" w:eastAsia="Microsoft YaHei"/>
          <w:b w:val="0"/>
          <w:color w:val="5B6573"/>
          <w:sz w:val="16"/>
        </w:rPr>
        <w:t>资料来源：基于NVIDIA生态公告、OIF标准与主要供应商产品资料整理。[6][10]-[13][20][22]</w:t>
      </w:r>
    </w:p>
    <w:p>
      <w:pPr>
        <w:pStyle w:val="Heading2"/>
        <w:keepNext/>
      </w:pPr>
      <w:r>
        <w:t>5.1 价值向三类能力集中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高功率、低噪声InP光源：</w:t>
      </w:r>
      <w:r>
        <w:rPr>
          <w:rFonts w:ascii="Calibri" w:hAnsi="Calibri" w:eastAsia="Microsoft YaHei"/>
          <w:b w:val="0"/>
          <w:color w:val="202A33"/>
          <w:sz w:val="22"/>
        </w:rPr>
        <w:t>硅光引擎越密集，单个ELS需要更高输出、更稳定波长和更低RIN；Lumentum、Coherent的稀缺性由此上升。[11][12][23]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光电共封装和测试：</w:t>
      </w:r>
      <w:r>
        <w:rPr>
          <w:rFonts w:ascii="Calibri" w:hAnsi="Calibri" w:eastAsia="Microsoft YaHei"/>
          <w:b w:val="0"/>
          <w:color w:val="202A33"/>
          <w:sz w:val="22"/>
        </w:rPr>
        <w:t>CPO把多个昂贵die绑定在一起，Known-Good-Die、微米级耦合、全通道BER和老化测试直接决定成本曲线。[6][13]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系统级协同：</w:t>
      </w:r>
      <w:r>
        <w:rPr>
          <w:rFonts w:ascii="Calibri" w:hAnsi="Calibri" w:eastAsia="Microsoft YaHei"/>
          <w:b w:val="0"/>
          <w:color w:val="202A33"/>
          <w:sz w:val="22"/>
        </w:rPr>
        <w:t>交换ASIC、光引擎、激光、连接器、冷却和软件必须共同优化。能定义整机并带来大客户需求的平台公司获得更强议价权。[5][8]</w:t>
      </w:r>
    </w:p>
    <w:p>
      <w:pPr>
        <w:pStyle w:val="Heading2"/>
        <w:keepNext/>
      </w:pPr>
      <w:r>
        <w:t>5.2 受益与承压环节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1350"/>
        <w:gridCol w:w="4000"/>
        <w:gridCol w:w="4010"/>
      </w:tblGrid>
      <w:tr>
        <w:trPr>
          <w:tblHeader w:val="true"/>
          <w:cantSplit/>
        </w:trPr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影响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环节</w:t>
            </w:r>
          </w:p>
        </w:tc>
        <w:tc>
          <w:tcPr>
            <w:tcW w:type="dxa" w:w="4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传导逻辑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直接受益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InP外延/晶圆、CW/UHP激光、ELSFP、SiPh PIC/EIC、光纤阵列、连接器、先进封装与测试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单位价值量上升、产能利用率提高、客户预付款/长约增加</w:t>
            </w:r>
          </w:p>
        </w:tc>
      </w:tr>
      <w:tr>
        <w:trPr>
          <w:cantSplit/>
        </w:trPr>
        <w:tc>
          <w:tcPr>
            <w:tcW w:type="dxa" w:w="1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结构性受益</w:t>
            </w:r>
          </w:p>
        </w:tc>
        <w:tc>
          <w:tcPr>
            <w:tcW w:type="dxa" w:w="4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交换ASIC、网络软件、液冷、系统ODM、可靠性测试设备</w:t>
            </w:r>
          </w:p>
        </w:tc>
        <w:tc>
          <w:tcPr>
            <w:tcW w:type="dxa" w:w="4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CPO带来新平台设计和认证需求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价值迁移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传统可插拔模块内DSP、高速PCB走线、前面板电连接器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部分功能被主ASIC或CPO封装吸收；但主流网络仍长期需要可插拔</w:t>
            </w:r>
          </w:p>
        </w:tc>
      </w:tr>
      <w:tr>
        <w:trPr>
          <w:cantSplit/>
        </w:trPr>
        <w:tc>
          <w:tcPr>
            <w:tcW w:type="dxa" w:w="1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不确定</w:t>
            </w:r>
          </w:p>
        </w:tc>
        <w:tc>
          <w:tcPr>
            <w:tcW w:type="dxa" w:w="4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标准较弱的专有光引擎、小规模封装方案、单一客户扩产</w:t>
            </w:r>
          </w:p>
        </w:tc>
        <w:tc>
          <w:tcPr>
            <w:tcW w:type="dxa" w:w="4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可能获得早期高毛利，也可能因良率、路线切换或需求延迟承压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80" w:line="240" w:lineRule="auto"/>
      </w:pPr>
      <w:r>
        <w:rPr>
          <w:rFonts w:ascii="Calibri" w:hAnsi="Calibri" w:eastAsia="Microsoft YaHei"/>
          <w:b w:val="0"/>
          <w:color w:val="5B6573"/>
          <w:sz w:val="17"/>
        </w:rPr>
        <w:t>资料来源：基于技术架构及厂商公开资料的产业链推断。[6][11]-[14][20][21]</w:t>
      </w:r>
    </w:p>
    <w:p>
      <w:pPr>
        <w:pStyle w:val="Heading2"/>
        <w:keepNext/>
      </w:pPr>
      <w:r>
        <w:t>5.3 CPO不会立即取代可插拔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CPO的经济性与交换容量、端口利用率和故障代价高度相关。对满配、长期运行、功耗受限的AI spine/leaf，CPO节能可以持续摊薄前期成本；对端口利用率不稳定、需要按需扩容或现场频繁更换的网络，可插拔仍具有“pay as you grow”和多供应商优势。Coherent在OFC 2026材料中也明确把可插拔与CPO视为并存架构，而Cisco继续把LPO作为近期产品重点。[12][17][18]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因此，更合理的判断不是“CPO替代所有光模块”，而是网络分层：最高带宽、最高利用率的交换层先CPO；成本和维修敏感层继续采用retimed/LPO；更短距离的Scale-up则在铜、AEC、VCSEL、NPO和XPU CPO之间竞争。</w:t>
      </w:r>
    </w:p>
    <w:p>
      <w:pPr>
        <w:pStyle w:val="Heading1"/>
        <w:keepNext/>
      </w:pPr>
      <w:r>
        <w:t>6. 2026-2029展望：三种情景与五类验证指标</w:t>
      </w:r>
    </w:p>
    <w:p>
      <w:pPr>
        <w:pStyle w:val="Heading2"/>
        <w:keepNext/>
      </w:pPr>
      <w:r>
        <w:t>6.1 基准情景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基准情景下，2026-2027年CPO在102.4T高端交换和大型AI工厂中扩大，Spectrum-X与Broadcom TH6形成主要量产/采样平台；LPO和1.6T可插拔继续覆盖更广市场。2028-2029年，随着6英寸InP、200G/400G每通道、光引擎封装和标准接口成熟，CPO从Scale-out向Scale-up扩张，但XPU光学I/O仍以定制设计和高端系统为主。[8][10][13][15]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Marvell引用LightCounting的预测称，CPO端口出货将从当时不足5万增长到2029年超过1,800万，且多数用于服务器内部连接。[15] 这是第三方预测而非已实现订单，适合用于判断方向与弹性，不应作为确定收入基数。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1350"/>
        <w:gridCol w:w="4200"/>
        <w:gridCol w:w="3810"/>
      </w:tblGrid>
      <w:tr>
        <w:trPr>
          <w:tblHeader w:val="true"/>
          <w:cantSplit/>
        </w:trPr>
        <w:tc>
          <w:tcPr>
            <w:tcW w:type="dxa" w:w="1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情景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触发条件</w:t>
            </w:r>
          </w:p>
        </w:tc>
        <w:tc>
          <w:tcPr>
            <w:tcW w:type="dxa" w:w="38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产业结果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上行情景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大模型训练/推理继续扩张；CPO系统功耗与可用性优势在客户现场得到验证；Lumentum/Coherent产能按期爬坡；400G/lane与开放接口成熟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交换CPO渗透加速，XPU光学I/O提前；激光器、光引擎和先进封装价值量显著提升</w:t>
            </w:r>
          </w:p>
        </w:tc>
      </w:tr>
      <w:tr>
        <w:trPr>
          <w:cantSplit/>
        </w:trPr>
        <w:tc>
          <w:tcPr>
            <w:tcW w:type="dxa" w:w="13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基准情景</w:t>
            </w:r>
          </w:p>
        </w:tc>
        <w:tc>
          <w:tcPr>
            <w:tcW w:type="dxa" w:w="4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CPO集中在高端AI网络；可插拔/LPO继续迭代；供应商按计划扩产但客户导入分批</w:t>
            </w:r>
          </w:p>
        </w:tc>
        <w:tc>
          <w:tcPr>
            <w:tcW w:type="dxa" w:w="38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2026-2027产品放量，2028后Scale-up贡献增加；多架构长期共存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8"/>
              </w:rPr>
              <w:t>下行情景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AI资本开支放缓；CPO良率/维修成本不达预期；LPO与铜延寿；专有接口阻碍多源；扩产提前造成库存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8"/>
              </w:rPr>
              <w:t>采购承诺兑现节奏推迟，上游产能利用率和价格承压，CPO回到特定高端场景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keepNext/>
      </w:pPr>
      <w:r>
        <w:t>6.2 五类必须跟踪的验证指标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真实出货：区分技术演示、样片、客户采样、系统量产与付费部署；优先观察量产交换机数量、端口利用率和重复订单。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现场可靠性：跟踪link flap、MTBI、BER余量、激光FIT、光纤连接故障以及故障后是否更换单一模块还是整机/封装。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单位经济性：用相同端口速率、距离、利用率与冷却条件比较系统功耗、$/bit、部署时间和维护成本。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产能兑现：关注6英寸InP晶圆产出、良率、ELSFP交付、Lumentum Greensboro工厂2028年中爬坡及Coherent扩产。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标准与多源：观察OIF ELSFP/3.2T IA、Open CPX等接口是否形成可替换供应商，而非仅做到协议互通。</w:t>
      </w:r>
    </w:p>
    <w:p>
      <w:pPr>
        <w:pStyle w:val="Heading2"/>
        <w:keepNext/>
      </w:pPr>
      <w:r>
        <w:t>6.3 主要风险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1200"/>
        <w:gridCol w:w="3600"/>
        <w:gridCol w:w="1000"/>
        <w:gridCol w:w="35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风险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机制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重要性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缓释方向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技术/制造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微环热敏、耦合偏差、复杂封装良率、光纤路由与整机测试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高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多代平台复用、外置激光、KGD、全通道老化与自动化装配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维护/可靠性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CPO降低模块数量，但单个光引擎故障可能影响昂贵交换芯片</w:t>
            </w:r>
          </w:p>
        </w:tc>
        <w:tc>
          <w:tcPr>
            <w:tcW w:type="dxa" w:w="1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高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ELSFP、可拆卸连接器、冗余光源、诊断与模块化系统设计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需求/产能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长约和扩产建立在AI投资持续增长上；2028产能可能与需求错配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中高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非排他客户结构、分阶段爬坡、灵活产品组合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竞争替代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LPO、AEC、VCSEL和更强SerDes延长可插拔/铜的生命周期</w:t>
            </w:r>
          </w:p>
        </w:tc>
        <w:tc>
          <w:tcPr>
            <w:tcW w:type="dxa" w:w="1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中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按网络层级选择架构，不以单一路线覆盖所有距离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标准/锁定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共封装机械、热和控制接口未达到传统模块的多源成熟度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中高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OIF/MSA推进、系统厂商公开接口、双源设计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财务/治理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股权稀释、投资回报与采购执行未必同步；非排他也意味着供应商服务竞争对手</w:t>
            </w:r>
          </w:p>
        </w:tc>
        <w:tc>
          <w:tcPr>
            <w:tcW w:type="dxa" w:w="1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中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分开评估股权收益、采购经济性与供应链韧性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keepNext/>
      </w:pPr>
      <w:r>
        <w:t>7. 结论与战略含义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246B4A"/>
          <w:left w:val="single" w:sz="6" w:space="0" w:color="246B4A"/>
          <w:bottom w:val="single" w:sz="6" w:space="0" w:color="246B4A"/>
          <w:right w:val="single" w:sz="6" w:space="0" w:color="246B4A"/>
          <w:insideH w:val="single" w:sz="6" w:space="0" w:color="246B4A"/>
          <w:insideV w:val="single" w:sz="6" w:space="0" w:color="246B4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3EC"/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246B4A"/>
                <w:sz w:val="21"/>
              </w:rPr>
              <w:t xml:space="preserve">最终判断  </w:t>
            </w:r>
            <w:r>
              <w:rPr>
                <w:rFonts w:ascii="Calibri" w:hAnsi="Calibri" w:eastAsia="Microsoft YaHei"/>
                <w:b w:val="0"/>
                <w:color w:val="202A33"/>
                <w:sz w:val="21"/>
              </w:rPr>
              <w:t>这笔投资标志着AI基础设施的主瓶颈正在从单纯算力芯片，转向“算力+网络+光源+封装”的共同工业化。</w:t>
            </w:r>
          </w:p>
        </w:tc>
      </w:tr>
    </w:tbl>
    <w:p>
      <w:pPr>
        <w:spacing w:before="0" w:after="80" w:line="240" w:lineRule="auto"/>
      </w:pP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第一，40亿美元不是订单金额。</w:t>
      </w:r>
      <w:r>
        <w:rPr>
          <w:rFonts w:ascii="Calibri" w:hAnsi="Calibri" w:eastAsia="Microsoft YaHei"/>
          <w:b w:val="0"/>
          <w:color w:val="202A33"/>
          <w:sz w:val="22"/>
        </w:rPr>
        <w:t>它是确定的股权资金；采购承诺另外存在但精确金额未披露。正确的分析必须把资本、订单和产能权分开。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第二，投资核心是锁定CPO的不可替代环节。</w:t>
      </w:r>
      <w:r>
        <w:rPr>
          <w:rFonts w:ascii="Calibri" w:hAnsi="Calibri" w:eastAsia="Microsoft YaHei"/>
          <w:b w:val="0"/>
          <w:color w:val="202A33"/>
          <w:sz w:val="22"/>
        </w:rPr>
        <w:t>英伟达已有交换ASIC和系统需求，最需要补的是高功率InP激光、光网络产品、封装测试与美国制造规模。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第三，双源与非排他比独占更符合NVIDIA利益。</w:t>
      </w:r>
      <w:r>
        <w:rPr>
          <w:rFonts w:ascii="Calibri" w:hAnsi="Calibri" w:eastAsia="Microsoft YaHei"/>
          <w:b w:val="0"/>
          <w:color w:val="202A33"/>
          <w:sz w:val="22"/>
        </w:rPr>
        <w:t>Lumentum提供光源深度，Coherent提供技术栈广度；两者并行降低单点风险并维持技术路线选择权。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第四，NVIDIA与Broadcom的竞争将从芯片性能扩展到工业化闭环。</w:t>
      </w:r>
      <w:r>
        <w:rPr>
          <w:rFonts w:ascii="Calibri" w:hAnsi="Calibri" w:eastAsia="Microsoft YaHei"/>
          <w:b w:val="0"/>
          <w:color w:val="202A33"/>
          <w:sz w:val="22"/>
        </w:rPr>
        <w:t>Broadcom拥有多代CPO制造学习，NVIDIA拥有AI工厂全栈和需求牵引；胜负取决于量产良率、系统可用性、软件和客户规模。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第五，最大长期弹性在XPU光学I/O。</w:t>
      </w:r>
      <w:r>
        <w:rPr>
          <w:rFonts w:ascii="Calibri" w:hAnsi="Calibri" w:eastAsia="Microsoft YaHei"/>
          <w:b w:val="0"/>
          <w:color w:val="202A33"/>
          <w:sz w:val="22"/>
        </w:rPr>
        <w:t>交换机CPO已进入量产，但真正改变计算封装边界的是Scale-up光学I/O；Marvell、Intel、AMD的布局说明行业正在为这一阶段做准备。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Microsoft YaHei"/>
          <w:b/>
          <w:color w:val="202A33"/>
          <w:sz w:val="22"/>
        </w:rPr>
        <w:t>第六，近期仍是多架构共存。</w:t>
      </w:r>
      <w:r>
        <w:rPr>
          <w:rFonts w:ascii="Calibri" w:hAnsi="Calibri" w:eastAsia="Microsoft YaHei"/>
          <w:b w:val="0"/>
          <w:color w:val="202A33"/>
          <w:sz w:val="22"/>
        </w:rPr>
        <w:t>CPO适合满配、功耗受限、高故障代价场景；LPO与可插拔凭借维护性、标准化和按需扩容将长期存在。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对产业观察者而言，最重要的不是追逐单次展会带宽，而是持续验证四个闭环：供应商产能是否按期爬坡、封装良率是否稳定、客户是否形成重复订单、系统节能是否转化为更低的每token成本。只有四者同时成立，40亿美元投资才会从供应链保险转化为可持续产业壁垒。</w:t>
      </w:r>
    </w:p>
    <w:p>
      <w:pPr>
        <w:pStyle w:val="Heading1"/>
        <w:keepNext/>
      </w:pPr>
      <w:r>
        <w:t>附录A 关键数据与口径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1800"/>
        <w:gridCol w:w="3000"/>
        <w:gridCol w:w="3650"/>
        <w:gridCol w:w="91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指标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数值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口径说明</w:t>
            </w:r>
          </w:p>
        </w:tc>
        <w:tc>
          <w:tcPr>
            <w:tcW w:type="dxa" w:w="9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英伟达股权投资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40亿美元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两家各20亿美元；确定金额</w:t>
            </w:r>
          </w:p>
        </w:tc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[1]-[4]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Lumentum证券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2,876,415股A系列可转换优先股；695.31美元/股</w:t>
            </w:r>
          </w:p>
        </w:tc>
        <w:tc>
          <w:tcPr>
            <w:tcW w:type="dxa" w:w="3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SEC披露；私募</w:t>
            </w:r>
          </w:p>
        </w:tc>
        <w:tc>
          <w:tcPr>
            <w:tcW w:type="dxa" w:w="9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[2]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Coherent证券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7,788,161股普通股；256.80美元/股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SEC披露；私募</w:t>
            </w:r>
          </w:p>
        </w:tc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[4]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采购承诺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每份协议均为multi-billion、多年、非排他</w:t>
            </w:r>
          </w:p>
        </w:tc>
        <w:tc>
          <w:tcPr>
            <w:tcW w:type="dxa" w:w="3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精确总额/期限未披露，不与40亿美元合并</w:t>
            </w:r>
          </w:p>
        </w:tc>
        <w:tc>
          <w:tcPr>
            <w:tcW w:type="dxa" w:w="9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[1][3]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NVIDIA Spectrum-6 CPO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102.4Tb/s；32×3.2T光引擎；200G PAM4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NVIDIA产品口径</w:t>
            </w:r>
          </w:p>
        </w:tc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[8][9]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Broadcom TH6-Davisson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102.4Tb/s；16×6.4T；200G/lane；ELSFP</w:t>
            </w:r>
          </w:p>
        </w:tc>
        <w:tc>
          <w:tcPr>
            <w:tcW w:type="dxa" w:w="3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Broadcom产品口径</w:t>
            </w:r>
          </w:p>
        </w:tc>
        <w:tc>
          <w:tcPr>
            <w:tcW w:type="dxa" w:w="9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[13]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Lumentum新厂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24万平方英尺；6英寸InP；预计2028年中爬坡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公司计划，属前瞻性信息</w:t>
            </w:r>
          </w:p>
        </w:tc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[10]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Lumentum UHP激光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1311nm；50°C最高350mW；效率&gt;20%</w:t>
            </w:r>
          </w:p>
        </w:tc>
        <w:tc>
          <w:tcPr>
            <w:tcW w:type="dxa" w:w="3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产品资料条件值</w:t>
            </w:r>
          </w:p>
        </w:tc>
        <w:tc>
          <w:tcPr>
            <w:tcW w:type="dxa" w:w="9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[11]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Intel OCI原型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4Tb/s双向；每方向64×32G；约5pJ/bit；最远100m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技术演示，非量产承诺</w:t>
            </w:r>
          </w:p>
        </w:tc>
        <w:tc>
          <w:tcPr>
            <w:tcW w:type="dxa" w:w="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[16]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2A33"/>
                <w:sz w:val="17"/>
              </w:rPr>
              <w:t>CPO端口预测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2029年&gt;1,800万</w:t>
            </w:r>
          </w:p>
        </w:tc>
        <w:tc>
          <w:tcPr>
            <w:tcW w:type="dxa" w:w="36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LightCounting预测，由Marvell公告引用</w:t>
            </w:r>
          </w:p>
        </w:tc>
        <w:tc>
          <w:tcPr>
            <w:tcW w:type="dxa" w:w="9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7"/>
              </w:rPr>
              <w:t>[15]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80" w:line="240" w:lineRule="auto"/>
      </w:pPr>
      <w:r>
        <w:rPr>
          <w:rFonts w:ascii="Calibri" w:hAnsi="Calibri" w:eastAsia="Microsoft YaHei"/>
          <w:b w:val="0"/>
          <w:color w:val="5B6573"/>
          <w:sz w:val="17"/>
        </w:rPr>
        <w:t>资料来源：本表只纳入可追溯数字；厂商效能指标因基线不同未集中横向比较。</w:t>
      </w:r>
    </w:p>
    <w:p>
      <w:r>
        <w:br w:type="page"/>
      </w:r>
    </w:p>
    <w:p>
      <w:pPr>
        <w:pStyle w:val="Heading1"/>
        <w:keepNext/>
      </w:pPr>
      <w:r>
        <w:t>参考文献</w:t>
      </w:r>
    </w:p>
    <w:p>
      <w:pPr>
        <w:spacing w:before="0" w:after="200" w:line="264" w:lineRule="auto"/>
      </w:pPr>
      <w:r>
        <w:rPr>
          <w:rFonts w:ascii="Calibri" w:hAnsi="Calibri" w:eastAsia="Microsoft YaHei"/>
          <w:b w:val="0"/>
          <w:color w:val="202A33"/>
          <w:sz w:val="22"/>
        </w:rPr>
        <w:t>来源优先级：SEC监管文件与公司原始公告用于确认交易事实；产品资料和技术博客用于确认架构与规格；OIF/IEEE材料用于标准与技术背景。厂商能效、可靠性和出货表述均保留其原始口径，不视为第三方审计结果。访问日期：2026年8月11日。</w:t>
      </w:r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[1]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NVIDIA. NVIDIA Announces Strategic Partnership With Lumentum to Develop State-of-the-Art Optics Technology. 2026-03-02. </w:t>
      </w:r>
      <w:r>
        <w:rPr>
          <w:rFonts w:ascii="Calibri" w:hAnsi="Calibri" w:eastAsia="Microsoft YaHei"/>
          <w:b/>
          <w:color w:val="A77819"/>
          <w:sz w:val="17"/>
        </w:rPr>
        <w:t xml:space="preserve">[公司公告] </w:t>
      </w:r>
      <w:hyperlink r:id="rId15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[2]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U.S. SEC. Lumentum Holdings Inc. Form 8-K. 2026-03-02. </w:t>
      </w:r>
      <w:r>
        <w:rPr>
          <w:rFonts w:ascii="Calibri" w:hAnsi="Calibri" w:eastAsia="Microsoft YaHei"/>
          <w:b/>
          <w:color w:val="A77819"/>
          <w:sz w:val="17"/>
        </w:rPr>
        <w:t xml:space="preserve">[监管文件] </w:t>
      </w:r>
      <w:hyperlink r:id="rId16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[3]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Coherent / NVIDIA. NVIDIA and Coherent Announce Strategic Partnership to Develop Optics Technology. 2026-03-02. </w:t>
      </w:r>
      <w:r>
        <w:rPr>
          <w:rFonts w:ascii="Calibri" w:hAnsi="Calibri" w:eastAsia="Microsoft YaHei"/>
          <w:b/>
          <w:color w:val="A77819"/>
          <w:sz w:val="17"/>
        </w:rPr>
        <w:t xml:space="preserve">[公司公告] </w:t>
      </w:r>
      <w:hyperlink r:id="rId17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[4]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U.S. SEC. Coherent Corp. Form 8-K. 2026-03-02. </w:t>
      </w:r>
      <w:r>
        <w:rPr>
          <w:rFonts w:ascii="Calibri" w:hAnsi="Calibri" w:eastAsia="Microsoft YaHei"/>
          <w:b/>
          <w:color w:val="A77819"/>
          <w:sz w:val="17"/>
        </w:rPr>
        <w:t xml:space="preserve">[监管文件] </w:t>
      </w:r>
      <w:hyperlink r:id="rId18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[5]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NVIDIA. NVIDIA Announces Spectrum-X Photonics, Co-Packaged Optics Networking Switches. 2025-03-18. </w:t>
      </w:r>
      <w:r>
        <w:rPr>
          <w:rFonts w:ascii="Calibri" w:hAnsi="Calibri" w:eastAsia="Microsoft YaHei"/>
          <w:b/>
          <w:color w:val="A77819"/>
          <w:sz w:val="17"/>
        </w:rPr>
        <w:t xml:space="preserve">[产品公告] </w:t>
      </w:r>
      <w:hyperlink r:id="rId19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[6]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NVIDIA Developer. How Industry Collaboration Fosters NVIDIA Co-Packaged Optics. 2025-08-26. </w:t>
      </w:r>
      <w:r>
        <w:rPr>
          <w:rFonts w:ascii="Calibri" w:hAnsi="Calibri" w:eastAsia="Microsoft YaHei"/>
          <w:b/>
          <w:color w:val="A77819"/>
          <w:sz w:val="17"/>
        </w:rPr>
        <w:t xml:space="preserve">[技术文章] </w:t>
      </w:r>
      <w:hyperlink r:id="rId20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[7]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NVIDIA Developer. Scaling AI Factories with Co-Packaged Optics for Better Power Efficiency. 2025. </w:t>
      </w:r>
      <w:r>
        <w:rPr>
          <w:rFonts w:ascii="Calibri" w:hAnsi="Calibri" w:eastAsia="Microsoft YaHei"/>
          <w:b/>
          <w:color w:val="A77819"/>
          <w:sz w:val="17"/>
        </w:rPr>
        <w:t xml:space="preserve">[技术文章] </w:t>
      </w:r>
      <w:hyperlink r:id="rId21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[8]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NVIDIA Blog. NVIDIA GTC Taipei at COMPUTEX: Spectrum-X Ethernet Photonics Ramps to Production. 2026-07. </w:t>
      </w:r>
      <w:r>
        <w:rPr>
          <w:rFonts w:ascii="Calibri" w:hAnsi="Calibri" w:eastAsia="Microsoft YaHei"/>
          <w:b/>
          <w:color w:val="A77819"/>
          <w:sz w:val="17"/>
        </w:rPr>
        <w:t xml:space="preserve">[产品进展] </w:t>
      </w:r>
      <w:hyperlink r:id="rId22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[9]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NVIDIA Developer. Inside the NVIDIA Vera Rubin Platform: Six New Chips, One AI Supercomputer. 2026. </w:t>
      </w:r>
      <w:r>
        <w:rPr>
          <w:rFonts w:ascii="Calibri" w:hAnsi="Calibri" w:eastAsia="Microsoft YaHei"/>
          <w:b/>
          <w:color w:val="A77819"/>
          <w:sz w:val="17"/>
        </w:rPr>
        <w:t xml:space="preserve">[技术文章] </w:t>
      </w:r>
      <w:hyperlink r:id="rId23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[10]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Lumentum. Lumentum Announces New U.S. Manufacturing Facility to Produce Advanced Lasers. 2026-03-26. </w:t>
      </w:r>
      <w:r>
        <w:rPr>
          <w:rFonts w:ascii="Calibri" w:hAnsi="Calibri" w:eastAsia="Microsoft YaHei"/>
          <w:b/>
          <w:color w:val="A77819"/>
          <w:sz w:val="17"/>
        </w:rPr>
        <w:t xml:space="preserve">[公司公告] </w:t>
      </w:r>
      <w:hyperlink r:id="rId24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[11]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Lumentum. UHP Laser Sources for CPO. 2026. </w:t>
      </w:r>
      <w:r>
        <w:rPr>
          <w:rFonts w:ascii="Calibri" w:hAnsi="Calibri" w:eastAsia="Microsoft YaHei"/>
          <w:b/>
          <w:color w:val="A77819"/>
          <w:sz w:val="17"/>
        </w:rPr>
        <w:t xml:space="preserve">[产品资料] </w:t>
      </w:r>
      <w:hyperlink r:id="rId25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[12]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Coherent. Coherent Demonstrates Multiple Technologies for Co-packaged Optics at OFC 2026. 2026-03-17. </w:t>
      </w:r>
      <w:r>
        <w:rPr>
          <w:rFonts w:ascii="Calibri" w:hAnsi="Calibri" w:eastAsia="Microsoft YaHei"/>
          <w:b/>
          <w:color w:val="A77819"/>
          <w:sz w:val="17"/>
        </w:rPr>
        <w:t xml:space="preserve">[公司公告] </w:t>
      </w:r>
      <w:hyperlink r:id="rId26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[13]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Broadcom. Broadcom Announces Tomahawk 6 - Davisson, 102.4-Tbps Ethernet Switch with CPO. 2025-10-08. </w:t>
      </w:r>
      <w:r>
        <w:rPr>
          <w:rFonts w:ascii="Calibri" w:hAnsi="Calibri" w:eastAsia="Microsoft YaHei"/>
          <w:b/>
          <w:color w:val="A77819"/>
          <w:sz w:val="17"/>
        </w:rPr>
        <w:t xml:space="preserve">[产品公告] </w:t>
      </w:r>
      <w:hyperlink r:id="rId27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[14]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Broadcom. Broadcom Delivers 51.2-Tbps Co-Packaged Optics Ethernet Switch Platform. 2024-03-14. </w:t>
      </w:r>
      <w:r>
        <w:rPr>
          <w:rFonts w:ascii="Calibri" w:hAnsi="Calibri" w:eastAsia="Microsoft YaHei"/>
          <w:b/>
          <w:color w:val="A77819"/>
          <w:sz w:val="17"/>
        </w:rPr>
        <w:t xml:space="preserve">[产品公告] </w:t>
      </w:r>
      <w:hyperlink r:id="rId28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[15]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Marvell. Marvell Announces Breakthrough CPO Architecture for Custom AI Accelerators. 2025-01-06. </w:t>
      </w:r>
      <w:r>
        <w:rPr>
          <w:rFonts w:ascii="Calibri" w:hAnsi="Calibri" w:eastAsia="Microsoft YaHei"/>
          <w:b/>
          <w:color w:val="A77819"/>
          <w:sz w:val="17"/>
        </w:rPr>
        <w:t xml:space="preserve">[产品公告] </w:t>
      </w:r>
      <w:hyperlink r:id="rId29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[16]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Intel. Intel Demonstrates First Fully Integrated Optical I/O Chiplet. 2024-06-26. </w:t>
      </w:r>
      <w:r>
        <w:rPr>
          <w:rFonts w:ascii="Calibri" w:hAnsi="Calibri" w:eastAsia="Microsoft YaHei"/>
          <w:b/>
          <w:color w:val="A77819"/>
          <w:sz w:val="17"/>
        </w:rPr>
        <w:t xml:space="preserve">[技术演示] </w:t>
      </w:r>
      <w:hyperlink r:id="rId30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[17]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Cisco. Cisco Announces Silicon One G300, Advanced Systems and Optics. 2026-02-10. </w:t>
      </w:r>
      <w:r>
        <w:rPr>
          <w:rFonts w:ascii="Calibri" w:hAnsi="Calibri" w:eastAsia="Microsoft YaHei"/>
          <w:b/>
          <w:color w:val="A77819"/>
          <w:sz w:val="17"/>
        </w:rPr>
        <w:t xml:space="preserve">[产品公告] </w:t>
      </w:r>
      <w:hyperlink r:id="rId31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[18]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Cisco. Cisco Connectivity Delivers Performance and Reliability for AI Networking. 2025-09-08. </w:t>
      </w:r>
      <w:r>
        <w:rPr>
          <w:rFonts w:ascii="Calibri" w:hAnsi="Calibri" w:eastAsia="Microsoft YaHei"/>
          <w:b/>
          <w:color w:val="A77819"/>
          <w:sz w:val="17"/>
        </w:rPr>
        <w:t xml:space="preserve">[技术路线] </w:t>
      </w:r>
      <w:hyperlink r:id="rId32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[19]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AMD. AMD Acquires Enosemi to Accelerate Co-Packaged Optics Innovation. 2025-05-28. </w:t>
      </w:r>
      <w:r>
        <w:rPr>
          <w:rFonts w:ascii="Calibri" w:hAnsi="Calibri" w:eastAsia="Microsoft YaHei"/>
          <w:b/>
          <w:color w:val="A77819"/>
          <w:sz w:val="17"/>
        </w:rPr>
        <w:t xml:space="preserve">[公司公告] </w:t>
      </w:r>
      <w:hyperlink r:id="rId33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[20]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OIF. Implementation Agreements: Energy Efficient Interfaces / Co-Packaging. 持续更新. </w:t>
      </w:r>
      <w:r>
        <w:rPr>
          <w:rFonts w:ascii="Calibri" w:hAnsi="Calibri" w:eastAsia="Microsoft YaHei"/>
          <w:b/>
          <w:color w:val="A77819"/>
          <w:sz w:val="17"/>
        </w:rPr>
        <w:t xml:space="preserve">[行业标准] </w:t>
      </w:r>
      <w:hyperlink r:id="rId34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[21]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IEEE Electronics Packaging Society. Co-Packaged Optics. 2025. </w:t>
      </w:r>
      <w:r>
        <w:rPr>
          <w:rFonts w:ascii="Calibri" w:hAnsi="Calibri" w:eastAsia="Microsoft YaHei"/>
          <w:b/>
          <w:color w:val="A77819"/>
          <w:sz w:val="17"/>
        </w:rPr>
        <w:t xml:space="preserve">[技术综述] </w:t>
      </w:r>
      <w:hyperlink r:id="rId35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[22]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Corning / NVIDIA. NVIDIA and Corning Announce Long-Term Partnership to Strengthen U.S. Manufacturing. 2026-05-06. </w:t>
      </w:r>
      <w:r>
        <w:rPr>
          <w:rFonts w:ascii="Calibri" w:hAnsi="Calibri" w:eastAsia="Microsoft YaHei"/>
          <w:b/>
          <w:color w:val="A77819"/>
          <w:sz w:val="17"/>
        </w:rPr>
        <w:t xml:space="preserve">[公司公告] </w:t>
      </w:r>
      <w:hyperlink r:id="rId36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[23]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Lumentum. Lumentum Demonstrates Technologies for Scale-Out, Scale-Up and Scale-Across at OFC 2026. 2026-03. </w:t>
      </w:r>
      <w:r>
        <w:rPr>
          <w:rFonts w:ascii="Calibri" w:hAnsi="Calibri" w:eastAsia="Microsoft YaHei"/>
          <w:b/>
          <w:color w:val="A77819"/>
          <w:sz w:val="17"/>
        </w:rPr>
        <w:t xml:space="preserve">[产品进展] </w:t>
      </w:r>
      <w:hyperlink r:id="rId37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spacing w:before="0" w:after="100" w:line="252" w:lineRule="auto"/>
      </w:pPr>
      <w:r>
        <w:rPr>
          <w:rFonts w:ascii="Calibri" w:hAnsi="Calibri" w:eastAsia="Microsoft YaHei"/>
          <w:b/>
          <w:color w:val="17365D"/>
          <w:sz w:val="18"/>
        </w:rPr>
        <w:t xml:space="preserve">[24] </w:t>
      </w:r>
      <w:r>
        <w:rPr>
          <w:rFonts w:ascii="Calibri" w:hAnsi="Calibri" w:eastAsia="Microsoft YaHei"/>
          <w:b w:val="0"/>
          <w:color w:val="202A33"/>
          <w:sz w:val="18"/>
        </w:rPr>
        <w:t xml:space="preserve">Coherent. Coherent Announces a CHIPS Letter of Intent for $50 Million to Expand World-Leading Manufacturing Facility for AI Infrastructure. 2026-06-16. </w:t>
      </w:r>
      <w:r>
        <w:rPr>
          <w:rFonts w:ascii="Calibri" w:hAnsi="Calibri" w:eastAsia="Microsoft YaHei"/>
          <w:b/>
          <w:color w:val="A77819"/>
          <w:sz w:val="17"/>
        </w:rPr>
        <w:t xml:space="preserve">[公司公告] </w:t>
      </w:r>
      <w:hyperlink r:id="rId38">
        <w:r>
          <w:rPr>
            <w:rFonts w:ascii="Calibri" w:hAnsi="Calibri" w:eastAsia="Microsoft YaHei"/>
            <w:color w:val="2E74B5"/>
            <w:u w:val="single"/>
            <w:sz w:val="18"/>
          </w:rPr>
          <w:t>原文链接</w:t>
        </w:r>
      </w:hyperlink>
    </w:p>
    <w:p>
      <w:pPr>
        <w:pStyle w:val="Heading2"/>
        <w:keepNext/>
      </w:pPr>
      <w:r>
        <w:t>研究限制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采购承诺的精确金额、期限、最低提货量、价格与违约条款未公开，本报告不作数字填补。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厂商披露的节能、可靠性和部署效率采用不同系统、环境与比较基线，仅用于理解各自技术主张。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 w:val="0"/>
          <w:color w:val="202A33"/>
          <w:sz w:val="22"/>
        </w:rPr>
        <w:t>2027年后产品路线、新厂爬坡与CPO端口预测均含前瞻性，不等同于已实现订单或收入。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 w:val="0"/>
        <w:color w:val="5B6573"/>
        <w:sz w:val="17"/>
      </w:rPr>
      <w:t>NVIDIA CPO产业深度研究  |  战略与技术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nvidianews.nvidia.com/news/nvidia-announces-strategic-partnership-with-lumentum-to-develop-state-of-the-art-optics-technology" TargetMode="External"/><Relationship Id="rId16" Type="http://schemas.openxmlformats.org/officeDocument/2006/relationships/hyperlink" Target="https://www.sec.gov/Archives/edgar/data/1633978/000119312526085412/d41019d8k.htm" TargetMode="External"/><Relationship Id="rId17" Type="http://schemas.openxmlformats.org/officeDocument/2006/relationships/hyperlink" Target="https://www.coherent.com/news/press-releases/nvidia-and-coherent-announce-strategic-partnership" TargetMode="External"/><Relationship Id="rId18" Type="http://schemas.openxmlformats.org/officeDocument/2006/relationships/hyperlink" Target="https://www.sec.gov/Archives/edgar/data/820318/000119312526084366/d42735d8k.htm" TargetMode="External"/><Relationship Id="rId19" Type="http://schemas.openxmlformats.org/officeDocument/2006/relationships/hyperlink" Target="https://nvidianews.nvidia.com/news/nvidia-spectrum-x-co-packaged-optics-networking-switches-ai-factories/" TargetMode="External"/><Relationship Id="rId20" Type="http://schemas.openxmlformats.org/officeDocument/2006/relationships/hyperlink" Target="https://developer.nvidia.com/blog/how-industry-collaboration-fosters-nvidia-co-packaged-optics/" TargetMode="External"/><Relationship Id="rId21" Type="http://schemas.openxmlformats.org/officeDocument/2006/relationships/hyperlink" Target="https://developer.nvidia.com/blog/scaling-ai-factories-with-co-packaged-optics-for-better-power-efficiency/" TargetMode="External"/><Relationship Id="rId22" Type="http://schemas.openxmlformats.org/officeDocument/2006/relationships/hyperlink" Target="https://blogs.nvidia.com/blog/nvidia-gtc-taipei-computex-2026-news/" TargetMode="External"/><Relationship Id="rId23" Type="http://schemas.openxmlformats.org/officeDocument/2006/relationships/hyperlink" Target="https://developer.nvidia.com/blog/inside-the-nvidia-rubin-platform-six-new-chips-one-ai-supercomputer/" TargetMode="External"/><Relationship Id="rId24" Type="http://schemas.openxmlformats.org/officeDocument/2006/relationships/hyperlink" Target="https://investor.lumentum.com/financial-news-releases/news-details/2026/Lumentum-Announces-New-U-S--Manufacturing-Facility-to-Produce-Advanced-Lasers-for-the-Worlds-Largest-AI-Data-Centers/default.aspx" TargetMode="External"/><Relationship Id="rId25" Type="http://schemas.openxmlformats.org/officeDocument/2006/relationships/hyperlink" Target="https://www.lumentum.com/en/products/data-center/cw-lasers/uhp-lasers-cpo" TargetMode="External"/><Relationship Id="rId26" Type="http://schemas.openxmlformats.org/officeDocument/2006/relationships/hyperlink" Target="https://www.coherent.com/news/press-releases/coherent-co-packaged-optics-cpo-technologies-ofc-2026" TargetMode="External"/><Relationship Id="rId27" Type="http://schemas.openxmlformats.org/officeDocument/2006/relationships/hyperlink" Target="https://www.broadcom.com/company/news/product-releases/63626" TargetMode="External"/><Relationship Id="rId28" Type="http://schemas.openxmlformats.org/officeDocument/2006/relationships/hyperlink" Target="https://www.broadcom.com/company/news/product-releases/61946" TargetMode="External"/><Relationship Id="rId29" Type="http://schemas.openxmlformats.org/officeDocument/2006/relationships/hyperlink" Target="https://www.marvell.com/company/newsroom/marvell-co-packaged-optics-architecture-custom-ai-accelerators.html" TargetMode="External"/><Relationship Id="rId30" Type="http://schemas.openxmlformats.org/officeDocument/2006/relationships/hyperlink" Target="https://newsroom.intel.com/artificial-intelligence/intel-unveils-first-integrated-optical-io-chiplet" TargetMode="External"/><Relationship Id="rId31" Type="http://schemas.openxmlformats.org/officeDocument/2006/relationships/hyperlink" Target="https://newsroom.cisco.com/c/r/newsroom/en/us/a/y2026/m02/cisco-announces-new-silicon-one-g300.html" TargetMode="External"/><Relationship Id="rId32" Type="http://schemas.openxmlformats.org/officeDocument/2006/relationships/hyperlink" Target="https://blogs.cisco.com/sp/transforming-infrastructure-for-the-ai-era" TargetMode="External"/><Relationship Id="rId33" Type="http://schemas.openxmlformats.org/officeDocument/2006/relationships/hyperlink" Target="https://www.amd.com/en/blogs/2025/amd-acquires-enosemi-to-accelerate-co-packaged-optics-innovation.html" TargetMode="External"/><Relationship Id="rId34" Type="http://schemas.openxmlformats.org/officeDocument/2006/relationships/hyperlink" Target="https://www.oiforum.com/technical-work/implementation-agreements-ias/" TargetMode="External"/><Relationship Id="rId35" Type="http://schemas.openxmlformats.org/officeDocument/2006/relationships/hyperlink" Target="https://eps.ieee.org/images/files/Technology/Photonics_TC_Co-Packaged_Optics_Final.pdf" TargetMode="External"/><Relationship Id="rId36" Type="http://schemas.openxmlformats.org/officeDocument/2006/relationships/hyperlink" Target="https://www.sec.gov/Archives/edgar/data/24741/000120677426000273/glw4631061-ex991.htm" TargetMode="External"/><Relationship Id="rId37" Type="http://schemas.openxmlformats.org/officeDocument/2006/relationships/hyperlink" Target="https://investor.lumentum.com/financial-news-releases/news-details/2026/Lumentum-Demonstrates-Industry-Leading-Technologies-and-Products-for-Scale-Out-Scale-Up-and-Scale-Across-AI-Infrastructure-at-OFC-2026/default.aspx" TargetMode="External"/><Relationship Id="rId38" Type="http://schemas.openxmlformats.org/officeDocument/2006/relationships/hyperlink" Target="https://www.coherent.com/news/press-releases/a-chip-letter-of-intent-for-50m-to-expand-world-leading-manufacturing-facility-for-ai-infrastru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英伟达40亿美元光通信投资与CPO产业深度研究</dc:title>
  <dc:subject>NVIDIA、Lumentum、Coherent、CPO与硅光子</dc:subject>
  <dc:creator>Strategic Consulting</dc:creator>
  <cp:keywords>NVIDIA,CPO,Silicon Photonics,Lumentum,Coherent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