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4345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26.3.4 Nvidia CPO</w:t>
      </w:r>
    </w:p>
    <w:p w14:paraId="364A6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核心洞察：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450E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FC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鉴于Scale-up能力对AI集群的重要性，英伟达可能正在研究一系列创新光学技术。NVLink CPO定档2028年，虽然具体时间未定，但这已成为不可避免的技术演进方向</w:t>
            </w:r>
          </w:p>
        </w:tc>
      </w:tr>
    </w:tbl>
    <w:p w14:paraId="6CDC4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CPO 技术的核心价值在于 </w:t>
      </w:r>
      <w:r>
        <w:rPr>
          <w:rFonts w:ascii="Arial" w:hAnsi="Arial" w:eastAsia="等线" w:cs="Arial"/>
          <w:b/>
          <w:sz w:val="22"/>
        </w:rPr>
        <w:t>“功耗优化 + 高密度互联”</w:t>
      </w:r>
      <w:r>
        <w:rPr>
          <w:rFonts w:ascii="Arial" w:hAnsi="Arial" w:eastAsia="等线" w:cs="Arial"/>
          <w:sz w:val="22"/>
        </w:rPr>
        <w:t>，完美匹配 AI 大模型对大规模 GPU 集群的性能与能效需求；英伟达通过 “战略延续 - 产品落地 - 生态共建 - 场景验证 - 技术迭代” 的完整路径，构建 CPO 领域竞争优势，引领数据中心光互连技术变革；而英伟达此次投资，也是其生态建设的一部分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E919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862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NV GPU 光互联的协同演进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            英伟达CPO战略"三步走"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第一步【2025-2026】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Scale-out网络试水：Quantum-X &amp; Spectrum-X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验证CPO技术可行性，培育产业生态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第二步【2027】    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产业生态成熟，单通道200G成为标准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与博通等厂商共同推动技术普及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第三步【2028+】         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Scale-up终极应用：NVLink CPO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支持百万级GPU集群的光互连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│  • 巩固AI基础设施霸主地位                     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25C955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AFC7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研究背景：</w:t>
      </w:r>
    </w:p>
    <w:p w14:paraId="31193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2026年3月2日，英伟达宣布向光通信企业Lumentum与Coherent各投资20亿美元，总金额达40亿美元，并签署多年采购协议锁定未来产能。该投资旨在</w:t>
      </w:r>
      <w:r>
        <w:rPr>
          <w:rFonts w:ascii="Arial" w:hAnsi="Arial" w:eastAsia="等线" w:cs="Arial"/>
          <w:b/>
          <w:sz w:val="22"/>
        </w:rPr>
        <w:t>解决AI算力扩张中的光互连技术瓶颈，重点布局</w:t>
      </w:r>
      <w:r>
        <w:rPr>
          <w:rFonts w:ascii="Arial" w:hAnsi="Arial" w:eastAsia="等线" w:cs="Arial"/>
          <w:b/>
          <w:sz w:val="22"/>
          <w:shd w:val="clear" w:fill="FFF67A"/>
        </w:rPr>
        <w:t>共封装光学（CPO）</w:t>
      </w:r>
      <w:r>
        <w:rPr>
          <w:rFonts w:ascii="Arial" w:hAnsi="Arial" w:eastAsia="等线" w:cs="Arial"/>
          <w:b/>
          <w:sz w:val="22"/>
        </w:rPr>
        <w:t>和</w:t>
      </w:r>
      <w:r>
        <w:rPr>
          <w:rFonts w:ascii="Arial" w:hAnsi="Arial" w:eastAsia="等线" w:cs="Arial"/>
          <w:b/>
          <w:sz w:val="22"/>
          <w:shd w:val="clear" w:fill="FFF67A"/>
        </w:rPr>
        <w:t>硅光子</w:t>
      </w:r>
      <w:r>
        <w:rPr>
          <w:rFonts w:ascii="Arial" w:hAnsi="Arial" w:eastAsia="等线" w:cs="Arial"/>
          <w:b/>
          <w:sz w:val="22"/>
        </w:rPr>
        <w:t>技术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E1FB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6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CPO</w:t>
            </w:r>
            <w:r>
              <w:rPr>
                <w:rFonts w:ascii="Arial" w:hAnsi="Arial" w:eastAsia="等线" w:cs="Arial"/>
                <w:color w:val="646A73"/>
                <w:sz w:val="22"/>
              </w:rPr>
              <w:t>将可插拔收发器直接集成至交换机内部，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可降低数据中心运营商的硬件采购成本，并显著压缩网络能耗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。两家被投公司将把所获资金用于研发投入及美国本土制造产能扩张</w:t>
            </w:r>
          </w:p>
        </w:tc>
      </w:tr>
    </w:tbl>
    <w:p w14:paraId="0F68A6E7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投资事件</w:t>
      </w:r>
      <w:bookmarkEnd w:id="0"/>
    </w:p>
    <w:p w14:paraId="4476C17C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color w:val="3370FF"/>
          <w:sz w:val="28"/>
        </w:rPr>
        <w:t xml:space="preserve">1.1 </w:t>
      </w:r>
      <w:r>
        <w:rPr>
          <w:rFonts w:ascii="Arial" w:hAnsi="Arial" w:eastAsia="等线" w:cs="Arial"/>
          <w:b/>
          <w:sz w:val="28"/>
          <w:u w:val="single"/>
        </w:rPr>
        <w:t>投资具体内容</w:t>
      </w:r>
      <w:bookmarkEnd w:id="1"/>
    </w:p>
    <w:p w14:paraId="36CC4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英伟达与这两家公司签署了多年期的战略协议，投资内容不仅包括资金注入，还涉及庞大的采购承诺和产能权益锁定：</w:t>
      </w:r>
    </w:p>
    <w:p w14:paraId="569EDDC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金额：合计40亿美元，分别向 Lumentum 和 Coherent 各投入20亿美元</w:t>
      </w:r>
    </w:p>
    <w:p w14:paraId="13F0061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采购承诺：英伟达将与 Lumentum 签署包含</w:t>
      </w:r>
      <w:r>
        <w:rPr>
          <w:rFonts w:ascii="Arial" w:hAnsi="Arial" w:eastAsia="等线" w:cs="Arial"/>
          <w:b/>
          <w:sz w:val="22"/>
        </w:rPr>
        <w:t>数十亿美元采购承诺</w:t>
      </w:r>
      <w:r>
        <w:rPr>
          <w:rFonts w:ascii="Arial" w:hAnsi="Arial" w:eastAsia="等线" w:cs="Arial"/>
          <w:sz w:val="22"/>
        </w:rPr>
        <w:t>的协议；与 Coherent 也达成类似的采购承诺：</w:t>
      </w:r>
      <w:r>
        <w:rPr>
          <w:rFonts w:ascii="Arial" w:hAnsi="Arial" w:eastAsia="等线" w:cs="Arial"/>
          <w:sz w:val="22"/>
          <w:u w:val="single"/>
        </w:rPr>
        <w:t>采购承诺覆盖</w:t>
      </w:r>
      <w:r>
        <w:rPr>
          <w:rFonts w:ascii="Arial" w:hAnsi="Arial" w:eastAsia="等线" w:cs="Arial"/>
          <w:b/>
          <w:sz w:val="22"/>
          <w:u w:val="single"/>
        </w:rPr>
        <w:t>800G至3.2T高速光模块所需的高端EML激光器、磷化铟晶圆等关键物料</w:t>
      </w:r>
    </w:p>
    <w:p w14:paraId="62E0872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产能权益：英伟达将获得未</w:t>
      </w:r>
      <w:r>
        <w:rPr>
          <w:rFonts w:ascii="Arial" w:hAnsi="Arial" w:eastAsia="等线" w:cs="Arial"/>
          <w:b/>
          <w:sz w:val="22"/>
        </w:rPr>
        <w:t>来先进激光器组件的产能获取权和优先使用权：</w:t>
      </w:r>
      <w:r>
        <w:rPr>
          <w:rFonts w:ascii="Arial" w:hAnsi="Arial" w:eastAsia="等线" w:cs="Arial"/>
          <w:sz w:val="22"/>
        </w:rPr>
        <w:t>英伟达通过股权投资绑定两家企业的</w:t>
      </w:r>
      <w:r>
        <w:rPr>
          <w:rFonts w:ascii="Arial" w:hAnsi="Arial" w:eastAsia="等线" w:cs="Arial"/>
          <w:sz w:val="22"/>
          <w:u w:val="single"/>
        </w:rPr>
        <w:t>激光器、光芯片</w:t>
      </w:r>
      <w:r>
        <w:rPr>
          <w:rFonts w:ascii="Arial" w:hAnsi="Arial" w:eastAsia="等线" w:cs="Arial"/>
          <w:sz w:val="22"/>
        </w:rPr>
        <w:t>等核心产能，优先保障其AI芯片配套的光互联组件供应；</w:t>
      </w:r>
    </w:p>
    <w:p w14:paraId="6CF721E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技术方向：重点支持“协同封装光学”（Co-Packaged Optics, CPO）技术及相关的激光器组件研发与产能扩张；双方将联合开发下一代光互连技术，包括</w:t>
      </w:r>
      <w:r>
        <w:rPr>
          <w:rFonts w:ascii="Arial" w:hAnsi="Arial" w:eastAsia="等线" w:cs="Arial"/>
          <w:color w:val="6425D0"/>
          <w:sz w:val="22"/>
          <w:u w:val="single"/>
        </w:rPr>
        <w:t>面向CPO架构的高功率连续波激光器，以及光电路交换（OCS）方案</w:t>
      </w:r>
      <w:r>
        <w:rPr>
          <w:rFonts w:ascii="Arial" w:hAnsi="Arial" w:eastAsia="等线" w:cs="Arial"/>
          <w:sz w:val="22"/>
          <w:u w:val="single"/>
        </w:rPr>
        <w:t>，</w:t>
      </w:r>
      <w:r>
        <w:rPr>
          <w:rFonts w:ascii="Arial" w:hAnsi="Arial" w:eastAsia="等线" w:cs="Arial"/>
          <w:b/>
          <w:sz w:val="22"/>
          <w:u w:val="single"/>
        </w:rPr>
        <w:t>目标将AI集群的传输能效提升40%以上</w:t>
      </w:r>
    </w:p>
    <w:p w14:paraId="4DBD54FF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color w:val="3370FF"/>
          <w:sz w:val="28"/>
        </w:rPr>
        <w:t xml:space="preserve">1.2 </w:t>
      </w:r>
      <w:r>
        <w:rPr>
          <w:rFonts w:ascii="Arial" w:hAnsi="Arial" w:eastAsia="等线" w:cs="Arial"/>
          <w:b/>
          <w:sz w:val="28"/>
          <w:u w:val="single"/>
        </w:rPr>
        <w:t>战略意义</w:t>
      </w:r>
      <w:bookmarkEnd w:id="2"/>
    </w:p>
    <w:p w14:paraId="3343B7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此举直接指向</w:t>
      </w:r>
      <w:r>
        <w:rPr>
          <w:rFonts w:ascii="Arial" w:hAnsi="Arial" w:eastAsia="等线" w:cs="Arial"/>
          <w:b/>
          <w:color w:val="D83931"/>
          <w:sz w:val="22"/>
          <w:shd w:val="clear" w:fill="FFF67A"/>
        </w:rPr>
        <w:t>共封装光学（CPO）</w:t>
      </w:r>
      <w:r>
        <w:rPr>
          <w:rFonts w:ascii="Arial" w:hAnsi="Arial" w:eastAsia="等线" w:cs="Arial"/>
          <w:sz w:val="22"/>
        </w:rPr>
        <w:t>核心供应链，旨在</w:t>
      </w:r>
      <w:r>
        <w:rPr>
          <w:rFonts w:ascii="Arial" w:hAnsi="Arial" w:eastAsia="等线" w:cs="Arial"/>
          <w:b/>
          <w:sz w:val="22"/>
        </w:rPr>
        <w:t>为下一代"吉瓦级AI工厂"筑牢光互联底座，</w:t>
      </w:r>
      <w:r>
        <w:rPr>
          <w:rFonts w:ascii="Arial" w:hAnsi="Arial" w:eastAsia="等线" w:cs="Arial"/>
          <w:sz w:val="22"/>
        </w:rPr>
        <w:t xml:space="preserve">主要是为了解决 </w:t>
      </w:r>
      <w:r>
        <w:rPr>
          <w:rFonts w:ascii="Arial" w:hAnsi="Arial" w:eastAsia="等线" w:cs="Arial"/>
          <w:color w:val="D83931"/>
          <w:sz w:val="22"/>
          <w:shd w:val="clear" w:fill="FFF67A"/>
        </w:rPr>
        <w:t>AI 计算加速器内部高速数据传输的瓶颈问题</w:t>
      </w:r>
      <w:r>
        <w:rPr>
          <w:rFonts w:ascii="Arial" w:hAnsi="Arial" w:eastAsia="等线" w:cs="Arial"/>
          <w:sz w:val="22"/>
        </w:rPr>
        <w:t>：</w:t>
      </w:r>
    </w:p>
    <w:p w14:paraId="31F53D2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突破电子互连瓶颈</w:t>
      </w:r>
      <w:r>
        <w:rPr>
          <w:rFonts w:ascii="Arial" w:hAnsi="Arial" w:eastAsia="等线" w:cs="Arial"/>
          <w:sz w:val="22"/>
        </w:rPr>
        <w:t>：随着AI算力的指数级增长，传统的电子互连（Electronic Interconnect）面临带宽、功耗和延迟的极限。</w:t>
      </w:r>
      <w:r>
        <w:rPr>
          <w:rFonts w:ascii="Arial" w:hAnsi="Arial" w:eastAsia="等线" w:cs="Arial"/>
          <w:sz w:val="22"/>
          <w:u w:val="single"/>
        </w:rPr>
        <w:t>光互连技术由于其高带宽、低功耗和低延迟的特性，被视为下一代AI基础设施的关键</w:t>
      </w:r>
    </w:p>
    <w:p w14:paraId="741D787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锁定核心供应链</w:t>
      </w:r>
      <w:r>
        <w:rPr>
          <w:rFonts w:ascii="Arial" w:hAnsi="Arial" w:eastAsia="等线" w:cs="Arial"/>
          <w:sz w:val="22"/>
        </w:rPr>
        <w:t>：通过锁定 Lumentum 和 Coherent 这两家全球领先的光学和激光技术供应商，英伟达旨在确保其光互连技术的供应链安全和技术领先地位</w:t>
      </w:r>
    </w:p>
    <w:p w14:paraId="1793FBB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推动光子计算发展</w:t>
      </w:r>
      <w:r>
        <w:rPr>
          <w:rFonts w:ascii="Arial" w:hAnsi="Arial" w:eastAsia="等线" w:cs="Arial"/>
          <w:sz w:val="22"/>
        </w:rPr>
        <w:t>：此次合作不仅是资金投入，更是英伟达在光子计算（Photonic Computing）和硅光子（Silicon Photonics）领域的深入布局，旨在构建未来“吉瓦级AI工厂”的光互连底座</w:t>
      </w:r>
    </w:p>
    <w:p w14:paraId="591F5DC3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color w:val="3370FF"/>
          <w:sz w:val="28"/>
        </w:rPr>
        <w:t xml:space="preserve">1.3 </w:t>
      </w:r>
      <w:r>
        <w:rPr>
          <w:rFonts w:ascii="Arial" w:hAnsi="Arial" w:eastAsia="等线" w:cs="Arial"/>
          <w:b/>
          <w:sz w:val="28"/>
          <w:u w:val="single"/>
        </w:rPr>
        <w:t>市场反应</w:t>
      </w:r>
      <w:bookmarkEnd w:id="3"/>
    </w:p>
    <w:p w14:paraId="009DEB4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股价表现</w:t>
      </w:r>
      <w:r>
        <w:rPr>
          <w:rFonts w:ascii="Arial" w:hAnsi="Arial" w:eastAsia="等线" w:cs="Arial"/>
          <w:sz w:val="22"/>
        </w:rPr>
        <w:t>：消息公布后，英伟达股价当日上涨近3%，当日Lumentum股价上涨11.75%，Coherent涨15.44%，带动全球光通信板块走强。机构预测2027年CPO市场规模将突破80亿美元</w:t>
      </w:r>
    </w:p>
    <w:p w14:paraId="64D4543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行业影响</w:t>
      </w:r>
      <w:r>
        <w:rPr>
          <w:rFonts w:ascii="Arial" w:hAnsi="Arial" w:eastAsia="等线" w:cs="Arial"/>
          <w:sz w:val="22"/>
        </w:rPr>
        <w:t>：中国光模块厂商短期订单未受冲击，但需应对上游芯片供应优先级变化及技术标准主导权转移风险。</w:t>
      </w:r>
      <w:r>
        <w:rPr>
          <w:rFonts w:ascii="Arial" w:hAnsi="Arial" w:eastAsia="等线" w:cs="Arial"/>
          <w:b/>
          <w:sz w:val="22"/>
        </w:rPr>
        <w:t>国内企业正加速硅光技术研发和国产替代，中际旭创、新易盛等龙头已布局3.2T CPO原型机</w:t>
      </w:r>
    </w:p>
    <w:p w14:paraId="6DF73AAD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color w:val="3370FF"/>
          <w:sz w:val="28"/>
        </w:rPr>
        <w:t xml:space="preserve">1.4 </w:t>
      </w:r>
      <w:r>
        <w:rPr>
          <w:rFonts w:ascii="Arial" w:hAnsi="Arial" w:eastAsia="等线" w:cs="Arial"/>
          <w:b/>
          <w:sz w:val="28"/>
          <w:u w:val="single"/>
        </w:rPr>
        <w:t>投资主体概况</w:t>
      </w:r>
      <w:bookmarkEnd w:id="4"/>
    </w:p>
    <w:p w14:paraId="3D37029B">
      <w:pPr>
        <w:spacing w:before="240" w:after="120" w:line="288" w:lineRule="auto"/>
        <w:ind w:left="0"/>
        <w:jc w:val="left"/>
        <w:outlineLvl w:val="4"/>
      </w:pPr>
      <w:bookmarkStart w:id="5" w:name="heading_5"/>
      <w:r>
        <w:rPr>
          <w:rFonts w:ascii="Arial" w:hAnsi="Arial" w:eastAsia="等线" w:cs="Arial"/>
          <w:color w:val="3370FF"/>
          <w:sz w:val="24"/>
        </w:rPr>
        <w:t xml:space="preserve">1.4.1 </w:t>
      </w:r>
      <w:r>
        <w:rPr>
          <w:rFonts w:ascii="Arial" w:hAnsi="Arial" w:eastAsia="等线" w:cs="Arial"/>
          <w:b/>
          <w:sz w:val="24"/>
          <w:u w:val="single"/>
        </w:rPr>
        <w:t xml:space="preserve">Lumentum </w:t>
      </w:r>
      <w:bookmarkEnd w:id="5"/>
    </w:p>
    <w:p w14:paraId="13A0363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核心业务概览</w:t>
      </w:r>
    </w:p>
    <w:p w14:paraId="26B96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Lumentum 是全球领先的光学和光子产品设计商及制造商，专注于为云计算、互联网、先进制造和 3D 传感等领域提供创新光电解决方案。</w:t>
      </w:r>
    </w:p>
    <w:p w14:paraId="0D70B6B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核心产品与技术</w:t>
      </w:r>
    </w:p>
    <w:p w14:paraId="5C5D048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高功率外部激光器 (External Laser Sources)</w:t>
      </w:r>
    </w:p>
    <w:p w14:paraId="0B3B573C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高功率 CPO 激光芯片：Lumentum 正在研发用于数据中心的高输出功率激光器。2024 年 3 月推出了 超高输出功率 1310nm DFB 激光器，适用于 CPO 和硅光 800G/1.6T 光模块，能够在 50°C 时提供 400mW 的光功率</w:t>
      </w:r>
    </w:p>
    <w:p w14:paraId="75DEBCF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高功率 CW 激光器：截至 2022 年，Lumentum 正研发用于数据中心的 75mW CW 激光器，单波长输出功率为 40mW，适用于硅光</w:t>
      </w:r>
    </w:p>
    <w:p w14:paraId="6C98CEA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光互连组件</w:t>
      </w:r>
    </w:p>
    <w:p w14:paraId="45C84EF8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光纤耦合器 (FAU)：作为 CPO 架构中的关键被动元件，Lumentum 在高精度光纤耦合器领域具备领先技术，确保光信号的低损耗传输</w:t>
      </w:r>
    </w:p>
    <w:p w14:paraId="6E3FC2BE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外延片 (Epitaxial Wafer)：提供高质量的半导体外延片，是光引擎制造的基础</w:t>
      </w:r>
    </w:p>
    <w:p w14:paraId="07EFE00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与NV的合作</w:t>
      </w:r>
    </w:p>
    <w:p w14:paraId="20AE359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投资锁定产能：英伟达向 Lumentum 投资了 20 亿美元，旨在锁定高端激光元件的未来供应，并支持 Lumentum 在美国本土建设新工厂</w:t>
      </w:r>
    </w:p>
    <w:p w14:paraId="046AACA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独家供应商地位：Lumentum 被视为英伟达首批 CPO 交换机出货的独家供应商，</w:t>
      </w:r>
      <w:r>
        <w:rPr>
          <w:rFonts w:ascii="Arial" w:hAnsi="Arial" w:eastAsia="等线" w:cs="Arial"/>
          <w:b/>
          <w:sz w:val="22"/>
        </w:rPr>
        <w:t>负责提供高功率激光模块，满足 AI 数据中心对高带宽和高能效的需求</w:t>
      </w:r>
    </w:p>
    <w:p w14:paraId="5EF7D76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技术协同：</w:t>
      </w:r>
      <w:r>
        <w:rPr>
          <w:rFonts w:ascii="Arial" w:hAnsi="Arial" w:eastAsia="等线" w:cs="Arial"/>
          <w:b/>
          <w:sz w:val="22"/>
        </w:rPr>
        <w:t>双方合作开发 AI 数据中心的光互连技术与封装集成方案</w:t>
      </w:r>
      <w:r>
        <w:rPr>
          <w:rFonts w:ascii="Arial" w:hAnsi="Arial" w:eastAsia="等线" w:cs="Arial"/>
          <w:sz w:val="22"/>
        </w:rPr>
        <w:t>，Lumentum 的高功率激光器是 CPO 技术（如 800G、1.6T）的关键驱动部件</w:t>
      </w:r>
    </w:p>
    <w:p w14:paraId="115D75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F02F82">
      <w:pPr>
        <w:spacing w:before="240" w:after="120" w:line="288" w:lineRule="auto"/>
        <w:ind w:left="0"/>
        <w:jc w:val="left"/>
        <w:outlineLvl w:val="4"/>
      </w:pPr>
      <w:bookmarkStart w:id="6" w:name="heading_6"/>
      <w:r>
        <w:rPr>
          <w:rFonts w:ascii="Arial" w:hAnsi="Arial" w:eastAsia="等线" w:cs="Arial"/>
          <w:color w:val="3370FF"/>
          <w:sz w:val="24"/>
        </w:rPr>
        <w:t xml:space="preserve">1.4.2 </w:t>
      </w:r>
      <w:r>
        <w:rPr>
          <w:rFonts w:ascii="Arial" w:hAnsi="Arial" w:eastAsia="等线" w:cs="Arial"/>
          <w:b/>
          <w:sz w:val="24"/>
        </w:rPr>
        <w:t xml:space="preserve">Coherent </w:t>
      </w:r>
      <w:bookmarkEnd w:id="6"/>
    </w:p>
    <w:p w14:paraId="5226F68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核心业务概览</w:t>
      </w:r>
    </w:p>
    <w:p w14:paraId="3B63D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Coherent 是材料、网络和激光器解决方案的全球领导者，涵盖从材料制造到系统集成的完整光学产业链。该公司在高功率激光和光互连领域具有深厚的技术积累。</w:t>
      </w:r>
    </w:p>
    <w:p w14:paraId="5493952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核心产品与技术</w:t>
      </w:r>
    </w:p>
    <w:p w14:paraId="205F3E5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高功率激光芯片</w:t>
      </w:r>
    </w:p>
    <w:p w14:paraId="10F7C65E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高功率 DFB 激光器：Coherent 在 O 波段提供高功率 DFB 激光器，输出功率范围为 100mW（未冷却）至 300mW（冷却），支持 400G 到 1.6T 硅光子收发器的中距离传输。</w:t>
      </w:r>
    </w:p>
    <w:p w14:paraId="1BAA2CD8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Compact Mini 高功率二极管激光器：提供 980nm、1064nm 等波长的高功率激光器，功率高达 0.31 kW，适用于工业加工和科学应用。</w:t>
      </w:r>
    </w:p>
    <w:p w14:paraId="741C831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光互连组件</w:t>
      </w:r>
    </w:p>
    <w:p w14:paraId="19F5CC8B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高密度光互连阵列 (FieldMax II/FieldMate)：支持 1.6T 总带宽，32 通道并行传输，单通道速率达 50G NRZ，旨在替代铜缆，实现高效的数据中心互连。</w:t>
      </w:r>
    </w:p>
    <w:p w14:paraId="157FA90A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背面发射 (BSE) VCSEL/PD 阵列：Coherent 计划于 2026 年推出 1060nm BSE 倒装 VCSEL/PD 阵列，进一步扩展其在下一代光网络中的产品组合。</w:t>
      </w:r>
    </w:p>
    <w:p w14:paraId="1624E53C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光环流器 (Optical Circulators)：提供低插入损耗的 3 端口或 4 端口光环流器，适用于 O 频段和 C 频段的光学发射机或可调谐激光器。</w:t>
      </w:r>
    </w:p>
    <w:p w14:paraId="2AB26DE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与NV的合作</w:t>
      </w:r>
    </w:p>
    <w:p w14:paraId="2CB34D5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投资锁定产能：英伟达同样向 Coherent 投资了 20 亿美元，支持其研发和产能扩张，确保其高功率激光器和光模块的供应。</w:t>
      </w:r>
    </w:p>
    <w:p w14:paraId="47940E2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 供应链关键成员：Coherent 为英伟达的 CPO 方案提供 外置激光源模块 (ELSFP) 和 光互连阵列，是英伟达 CPO 生态系统的重要供应商之一。</w:t>
      </w:r>
    </w:p>
    <w:p w14:paraId="21CAE8A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技术协同：Coherent 的高功率激光器和光互连解决方案与英伟达的光引擎 (Optical Engine) 紧密结合，共同推动光互连技术从铜缆向光纤的转型。</w:t>
      </w:r>
    </w:p>
    <w:p w14:paraId="735B51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F0DD13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CPO：AI算力互连的演进逻辑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475D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E6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  <w:u w:val="single"/>
              </w:rPr>
              <w:t xml:space="preserve">关键论断 </w:t>
            </w:r>
          </w:p>
          <w:p w14:paraId="111E0629">
            <w:pPr>
              <w:numPr>
                <w:ilvl w:val="0"/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CPO将光电接口从传统的“外设”转变为“核心芯片的一部分”，这不仅是光电器件的物理集成，更是封装与系统设计的彻底重构</w:t>
            </w:r>
          </w:p>
          <w:p w14:paraId="5DC2DA52">
            <w:pPr>
              <w:numPr>
                <w:ilvl w:val="0"/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CPO不再是“备选项”，而是通往机架级算力池化的必然路径。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它彻底解决了大模型训练中网络延迟与功耗的木桶效应</w:t>
            </w:r>
          </w:p>
          <w:p w14:paraId="637B87DE">
            <w:pPr>
              <w:numPr>
                <w:ilvl w:val="0"/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随着NVIDIA的全面介入，供应链已开始进入量产爬坡期，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预计2027-2028年将伴随下一代AI架构实现全面爆发</w:t>
            </w:r>
          </w:p>
        </w:tc>
      </w:tr>
    </w:tbl>
    <w:p w14:paraId="6D16C24D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color w:val="3370FF"/>
          <w:sz w:val="28"/>
        </w:rPr>
        <w:t xml:space="preserve">2.1 </w:t>
      </w:r>
      <w:r>
        <w:rPr>
          <w:rFonts w:ascii="Arial" w:hAnsi="Arial" w:eastAsia="等线" w:cs="Arial"/>
          <w:b/>
          <w:sz w:val="28"/>
          <w:u w:val="single"/>
        </w:rPr>
        <w:t>核心驱动力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F716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A5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AI集群（如NVIDIA Blackwell/Rubin架构）规模的指数级增长，使传统互连方案遭遇双重物理极限：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互连速度、距离和功耗要求</w:t>
            </w:r>
            <w:r>
              <w:rPr>
                <w:rFonts w:ascii="Arial" w:hAnsi="Arial" w:eastAsia="等线" w:cs="Arial"/>
                <w:color w:val="646A73"/>
                <w:sz w:val="22"/>
              </w:rPr>
              <w:t>已超越传统可插拔光模块与铜缆的物理承载极限</w:t>
            </w:r>
          </w:p>
          <w:p w14:paraId="3AD8E769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当前基于铜缆(如NVLink)的横向扩展极限距离为2m，最多仅能覆盖一两个机架，在铜缆上继续提升带宽越来越难</w:t>
            </w:r>
          </w:p>
          <w:p w14:paraId="1EA5B97D">
            <w:pPr>
              <w:numPr>
                <w:ilvl w:val="0"/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在Rubin架构中，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NVIDIA将通过双向SerDes实现单个铜缆通道带宽的再次翻倍，但通过研发更高频率的SerDes来榨取铜缆带宽潜力是一种极具挑战且进展缓慢的扩展方式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。相比之下，CPO能在提供同等甚至更高带宽密度的同时，开辟额外的带宽扩展路径，并支持更大规模的Scale-Up域</w:t>
            </w:r>
          </w:p>
          <w:p w14:paraId="64224AF8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在一个20万块GB300NVL72集群中，仅光模块消耗的惊人电力，高达17MW</w:t>
            </w:r>
          </w:p>
          <w:p w14:paraId="5B3941E5">
            <w:pPr>
              <w:numPr>
                <w:ilvl w:val="0"/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在三层InfiniBand网络中，高昂的DSP光模块占网络总功耗的比例高达45%</w:t>
            </w:r>
          </w:p>
        </w:tc>
      </w:tr>
    </w:tbl>
    <w:p w14:paraId="105601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  <w:u w:val="single"/>
        </w:rPr>
        <w:t>通过光电集成优化系统性能，突破“I/O墙”与“功耗墙”</w:t>
      </w:r>
    </w:p>
    <w:p w14:paraId="077D08CB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突破物理极限（打破I/O墙）：</w:t>
      </w:r>
      <w:r>
        <w:rPr>
          <w:rFonts w:ascii="Arial" w:hAnsi="Arial" w:eastAsia="等线" w:cs="Arial"/>
          <w:sz w:val="22"/>
        </w:rPr>
        <w:t>CPO</w:t>
      </w:r>
      <w:r>
        <w:rPr>
          <w:rFonts w:ascii="Arial" w:hAnsi="Arial" w:eastAsia="等线" w:cs="Arial"/>
          <w:sz w:val="22"/>
          <w:u w:val="single"/>
        </w:rPr>
        <w:t>在交换机前面板实现3-5倍于可插拔方案的端口密度</w:t>
      </w:r>
    </w:p>
    <w:p w14:paraId="1162C802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随着SerDes单通道速率跨入224G/448G阶段，铜缆的传输距离与损耗成反比，在大规模Scale-up架构中已接近物理极限；CPO通过提高Shoreline带宽密度（利用宽I/O替代高功耗SerDes），成功解决了芯片外I/O扩展的物理约束，</w:t>
      </w:r>
    </w:p>
    <w:p w14:paraId="43967FA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消除功耗“公敌”（打破功耗墙）：</w:t>
      </w:r>
      <w:r>
        <w:rPr>
          <w:rFonts w:ascii="Arial" w:hAnsi="Arial" w:eastAsia="等线" w:cs="Arial"/>
          <w:sz w:val="22"/>
        </w:rPr>
        <w:t>传统可插拔光模块受限于DSP功耗（占比近50%）及板卡边缘I/O密度。</w:t>
      </w:r>
      <w:r>
        <w:rPr>
          <w:rFonts w:ascii="Arial" w:hAnsi="Arial" w:eastAsia="等线" w:cs="Arial"/>
          <w:sz w:val="22"/>
          <w:u w:val="single"/>
        </w:rPr>
        <w:t>CPO将光引擎（OE）直接集成在ASIC同一封装内，将电信号传输距离从传统的10-20厘米缩短至1-2厘米，并消除高性能DSP</w:t>
      </w:r>
    </w:p>
    <w:p w14:paraId="73626844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</w:t>
      </w:r>
      <w:r>
        <w:rPr>
          <w:rFonts w:ascii="Arial" w:hAnsi="Arial" w:eastAsia="等线" w:cs="Arial"/>
          <w:b/>
          <w:sz w:val="22"/>
        </w:rPr>
        <w:t>减少信号衰减</w:t>
      </w:r>
      <w:r>
        <w:rPr>
          <w:rFonts w:ascii="Arial" w:hAnsi="Arial" w:eastAsia="等线" w:cs="Arial"/>
          <w:sz w:val="22"/>
        </w:rPr>
        <w:t>（提升信号完整性）、</w:t>
      </w:r>
      <w:r>
        <w:rPr>
          <w:rFonts w:ascii="Arial" w:hAnsi="Arial" w:eastAsia="等线" w:cs="Arial"/>
          <w:b/>
          <w:sz w:val="22"/>
        </w:rPr>
        <w:t>降低传输延迟</w:t>
      </w:r>
      <w:r>
        <w:rPr>
          <w:rFonts w:ascii="Arial" w:hAnsi="Arial" w:eastAsia="等线" w:cs="Arial"/>
          <w:sz w:val="22"/>
        </w:rPr>
        <w:t>（从纳秒级降至皮秒级）</w:t>
      </w:r>
    </w:p>
    <w:p w14:paraId="37DCC38E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实现30%-80%的</w:t>
      </w:r>
      <w:r>
        <w:rPr>
          <w:rFonts w:ascii="Arial" w:hAnsi="Arial" w:eastAsia="等线" w:cs="Arial"/>
          <w:b/>
          <w:sz w:val="22"/>
        </w:rPr>
        <w:t>功耗降低、显著的集群TCO优化</w:t>
      </w:r>
      <w:r>
        <w:rPr>
          <w:rFonts w:ascii="Arial" w:hAnsi="Arial" w:eastAsia="等线" w:cs="Arial"/>
          <w:sz w:val="22"/>
        </w:rPr>
        <w:t xml:space="preserve"> </w:t>
      </w:r>
    </w:p>
    <w:p w14:paraId="5E3731C4">
      <w:pPr>
        <w:numPr>
          <w:ilvl w:val="0"/>
          <w:numId w:val="4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 xml:space="preserve">TCO成本优化：可参考semi analysis的 TCO成本分析： </w:t>
      </w:r>
      <w:r>
        <w:fldChar w:fldCharType="begin"/>
      </w:r>
      <w:r>
        <w:instrText xml:space="preserve"> HYPERLINK "https://newsletter.semianalysis.com/p/co-packaged-optics-cpo-book-scaling"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Co Packaged Optics (CPO) – Scaling with Light for the Next Wave of Interconnect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4F5E705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color w:val="3370FF"/>
          <w:sz w:val="28"/>
        </w:rPr>
        <w:t xml:space="preserve">2.2 </w:t>
      </w:r>
      <w:r>
        <w:rPr>
          <w:rFonts w:ascii="Arial" w:hAnsi="Arial" w:eastAsia="等线" w:cs="Arial"/>
          <w:b/>
          <w:sz w:val="28"/>
          <w:u w:val="single"/>
        </w:rPr>
        <w:t>技术演进路径</w:t>
      </w:r>
      <w:bookmarkEnd w:id="9"/>
    </w:p>
    <w:p w14:paraId="2B90E79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CPO并非孤立存在，而是光电集成度不断提升的产物，其演进呈现出清晰的脉络：</w:t>
      </w:r>
      <w:r>
        <w:rPr>
          <w:rFonts w:ascii="Arial" w:hAnsi="Arial" w:eastAsia="等线" w:cs="Arial"/>
          <w:b/>
          <w:color w:val="D83931"/>
          <w:sz w:val="22"/>
          <w:shd w:val="clear" w:fill="FFF67A"/>
        </w:rPr>
        <w:t>LPO（线性驱动可插拔）→NPO（近封装光学）→CPO（共封装光学）→片上光学（远期愿景）</w:t>
      </w:r>
    </w:p>
    <w:p w14:paraId="77AB935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同时，针对超短距离，先进封装技术也催生了与</w:t>
      </w:r>
      <w:r>
        <w:rPr>
          <w:rFonts w:ascii="Arial" w:hAnsi="Arial" w:eastAsia="等线" w:cs="Arial"/>
          <w:b/>
          <w:color w:val="D83931"/>
          <w:sz w:val="22"/>
          <w:shd w:val="clear" w:fill="FFF67A"/>
        </w:rPr>
        <w:t>CPO互补的CPC（共封装铜）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840"/>
        <w:gridCol w:w="2940"/>
      </w:tblGrid>
      <w:tr w14:paraId="1114A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0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LPO</w:t>
            </w:r>
            <w:r>
              <w:rPr>
                <w:rFonts w:ascii="Arial" w:hAnsi="Arial" w:eastAsia="等线" w:cs="Arial"/>
                <w:sz w:val="22"/>
              </w:rPr>
              <w:t>（线性驱动可插拔 Linear Pluggable Optics）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B77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819150"/>
                  <wp:effectExtent l="0" t="0" r="0" b="19050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E149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5720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5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电信号在到达收发器中的光学引擎之前，需要通过铜迹线或飞越电缆（Flyover Cable）穿越较长的距离（15-30cm）</w:t>
            </w:r>
          </w:p>
          <w:p w14:paraId="16534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需要长距离（LR）SerDes来驱动到可插拔模块</w:t>
            </w:r>
          </w:p>
          <w:p w14:paraId="60B207D1">
            <w:pPr>
              <w:spacing w:before="120" w:after="120" w:line="288" w:lineRule="auto"/>
              <w:ind w:left="0"/>
              <w:jc w:val="left"/>
            </w:pPr>
          </w:p>
        </w:tc>
      </w:tr>
      <w:tr w14:paraId="65A77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09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NPO</w:t>
            </w:r>
            <w:r>
              <w:rPr>
                <w:rFonts w:ascii="Arial" w:hAnsi="Arial" w:eastAsia="等线" w:cs="Arial"/>
                <w:sz w:val="22"/>
              </w:rPr>
              <w:t>（近封装光学 Near-Packaged Optics）</w:t>
            </w:r>
          </w:p>
          <w:p w14:paraId="1F093C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6FDE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657225"/>
                  <wp:effectExtent l="0" t="0" r="0" b="317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4203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23975" cy="1038225"/>
                  <wp:effectExtent l="0" t="0" r="22225" b="317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FF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NPO已成为向CPO过渡的中间步骤</w:t>
            </w:r>
          </w:p>
          <w:p w14:paraId="6DFBA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NPO有多种定义，通常是指光学引擎不直接位于ASIC的基板上，而是共封装到另一个相邻的基板上</w:t>
            </w:r>
          </w:p>
          <w:p w14:paraId="4D2F7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光学引擎保持可插拔状态，可以从基板上分离</w:t>
            </w:r>
          </w:p>
          <w:p w14:paraId="481AC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电信号仍需从XPU封装上的SerDes通过特定的铜通道传输到光学引擎</w:t>
            </w:r>
          </w:p>
          <w:p w14:paraId="1111DC02">
            <w:pPr>
              <w:spacing w:before="120" w:after="120" w:line="288" w:lineRule="auto"/>
              <w:ind w:left="0"/>
              <w:jc w:val="left"/>
            </w:pPr>
          </w:p>
        </w:tc>
      </w:tr>
      <w:tr w14:paraId="6DEA7C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C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OBO</w:t>
            </w:r>
            <w:r>
              <w:rPr>
                <w:rFonts w:ascii="Arial" w:hAnsi="Arial" w:eastAsia="等线" w:cs="Arial"/>
                <w:sz w:val="22"/>
              </w:rPr>
              <w:t>（板载光学 On-Board Optics）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B9AEA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609600"/>
                  <wp:effectExtent l="0" t="0" r="0" b="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2A61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52550" cy="1047750"/>
                  <wp:effectExtent l="0" t="0" r="19050" b="1905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ADDAE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76250"/>
                  <wp:effectExtent l="0" t="0" r="0" b="635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5B0C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92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它将光学引擎集成到机箱内的系统PCB上，使其更接近主机ASIC</w:t>
            </w:r>
          </w:p>
          <w:p w14:paraId="1FF44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然而，OBO继承了CPO的许多挑战，但在带宽密度和节能方面的益处较少。</w:t>
            </w:r>
          </w:p>
          <w:p w14:paraId="0D626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OBO为“两者的最差结合”，因为它兼具CPO的复杂性，同时保留了前置可插拔光学的一些限制。</w:t>
            </w:r>
          </w:p>
        </w:tc>
      </w:tr>
      <w:tr w14:paraId="0F25C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E6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CPC</w:t>
            </w:r>
            <w:r>
              <w:rPr>
                <w:rFonts w:ascii="Arial" w:hAnsi="Arial" w:eastAsia="等线" w:cs="Arial"/>
                <w:sz w:val="22"/>
              </w:rPr>
              <w:t xml:space="preserve"> （“共封装铜” Co-Packaged Copper）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C2B1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33500" cy="1133475"/>
                  <wp:effectExtent l="0" t="0" r="12700" b="9525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4B6CC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1143000"/>
                  <wp:effectExtent l="0" t="0" r="0" b="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ED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CPO的另一个替代方案</w:t>
            </w:r>
          </w:p>
          <w:p w14:paraId="774C5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CPC使用直接从基板连接器中引出的铜线缆。</w:t>
            </w:r>
          </w:p>
          <w:p w14:paraId="5E6A3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这些用于CPC的线缆与飞越线缆相同，目的也一致：</w:t>
            </w:r>
            <w:r>
              <w:rPr>
                <w:rFonts w:ascii="Arial" w:hAnsi="Arial" w:eastAsia="等线" w:cs="Arial"/>
                <w:b/>
                <w:sz w:val="22"/>
              </w:rPr>
              <w:t>绕过PCB迹线；</w:t>
            </w:r>
            <w:r>
              <w:rPr>
                <w:rFonts w:ascii="Arial" w:hAnsi="Arial" w:eastAsia="等线" w:cs="Arial"/>
                <w:sz w:val="22"/>
              </w:rPr>
              <w:t>CPC将飞越线缆进一步延伸，使插座直接从封装基板开始。其使用的是双轴线缆（Twinax线缆），这些线缆绝缘良好以减少串扰，其插入损耗显著低于传统电迹线。</w:t>
            </w:r>
          </w:p>
          <w:p w14:paraId="205DC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尽管此方案仍使用铜作为介质，但</w:t>
            </w:r>
            <w:r>
              <w:rPr>
                <w:rFonts w:ascii="Arial" w:hAnsi="Arial" w:eastAsia="等线" w:cs="Arial"/>
                <w:b/>
                <w:sz w:val="22"/>
              </w:rPr>
              <w:t>它在信号完整性方面具有关键优势</w:t>
            </w:r>
            <w:r>
              <w:rPr>
                <w:rFonts w:ascii="Arial" w:hAnsi="Arial" w:eastAsia="等线" w:cs="Arial"/>
                <w:sz w:val="22"/>
              </w:rPr>
              <w:t>。</w:t>
            </w:r>
          </w:p>
          <w:p w14:paraId="7FF17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CPC可以为部署448G SerDes提供实际路径，从而支持更高层级的封装外互连扩展。</w:t>
            </w:r>
          </w:p>
        </w:tc>
      </w:tr>
      <w:tr w14:paraId="348A1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2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CPO（共封装光学）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1743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742950"/>
                  <wp:effectExtent l="0" t="0" r="0" b="1905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05263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742950"/>
                  <wp:effectExtent l="0" t="0" r="0" b="1905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CD34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333500" cy="1057275"/>
                  <wp:effectExtent l="0" t="0" r="12700" b="9525"/>
                  <wp:docPr id="12" name="Draw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B333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66725"/>
                  <wp:effectExtent l="0" t="0" r="0" b="15875"/>
                  <wp:docPr id="13" name="Drawing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A7FD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62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光学引擎位于与计算或交换芯片相同的封装基板上（封装在一块</w:t>
            </w:r>
            <w:r>
              <w:rPr>
                <w:rFonts w:ascii="Arial" w:hAnsi="Arial" w:eastAsia="等线" w:cs="Arial"/>
                <w:b/>
                <w:sz w:val="22"/>
              </w:rPr>
              <w:t>独立的“Engine Substrate”，</w:t>
            </w:r>
            <w:r>
              <w:rPr>
                <w:rFonts w:ascii="Arial" w:hAnsi="Arial" w:eastAsia="等线" w:cs="Arial"/>
                <w:sz w:val="22"/>
              </w:rPr>
              <w:t>技术成熟，可复用传统工艺 ）</w:t>
            </w:r>
          </w:p>
          <w:p w14:paraId="60D89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未来则会放置在中继器（interposer 硅中阶层）上的光学引擎（中介层支持更细的线宽线距、更高的 I/O 密度，因此</w:t>
            </w:r>
            <w:r>
              <w:rPr>
                <w:rFonts w:ascii="Arial" w:hAnsi="Arial" w:eastAsia="等线" w:cs="Arial"/>
                <w:b/>
                <w:sz w:val="22"/>
              </w:rPr>
              <w:t>集成度更高、信号传输损耗更低</w:t>
            </w:r>
            <w:r>
              <w:rPr>
                <w:rFonts w:ascii="Arial" w:hAnsi="Arial" w:eastAsia="等线" w:cs="Arial"/>
                <w:sz w:val="22"/>
              </w:rPr>
              <w:t>，适合超大规模、高带宽的场景（如 AI 集群、超算）。但中介层的工艺复杂度（尤其是硅中介层）和成本也更高）</w:t>
            </w:r>
          </w:p>
          <w:p w14:paraId="165B3C1A">
            <w:pPr>
              <w:spacing w:before="120" w:after="120" w:line="288" w:lineRule="auto"/>
              <w:ind w:left="0"/>
              <w:jc w:val="left"/>
            </w:pPr>
          </w:p>
        </w:tc>
      </w:tr>
      <w:tr w14:paraId="1177C8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8B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D83931"/>
                <w:sz w:val="22"/>
                <w:shd w:val="clear" w:fill="FFF67A"/>
              </w:rPr>
              <w:t>片上光学（远期愿景）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F86E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86000" cy="419100"/>
                  <wp:effectExtent l="0" t="0" r="0" b="12700"/>
                  <wp:docPr id="14" name="Drawing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C3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把原本分立的光学器件全部做进同一块半导体芯片里，让光信号像电信号一样在芯片上走线</w:t>
            </w:r>
          </w:p>
        </w:tc>
      </w:tr>
    </w:tbl>
    <w:p w14:paraId="1B0A606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在实际应用中，CPO正在经历从Scale-Out到Scale-Up的战略范式转移：</w:t>
      </w:r>
    </w:p>
    <w:p w14:paraId="5D05E2BC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Scale-Out（横向网络-降本增效）：</w:t>
      </w:r>
      <w:r>
        <w:rPr>
          <w:rFonts w:ascii="Arial" w:hAnsi="Arial" w:eastAsia="等线" w:cs="Arial"/>
          <w:sz w:val="22"/>
        </w:rPr>
        <w:t>最早落地于网络交换机领域（如NVIDIA的Quantum-X/Spectrum-X和Broadcom的Bailly系列），旨在通过高基数（High-radix）设计简化网络层级，降低TCO。</w:t>
      </w:r>
    </w:p>
    <w:p w14:paraId="1B2255D8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Scale-Up（纵向Fabric-杀手级应用）</w:t>
      </w:r>
      <w:r>
        <w:rPr>
          <w:rFonts w:ascii="Arial" w:hAnsi="Arial" w:eastAsia="等线" w:cs="Arial"/>
          <w:sz w:val="22"/>
        </w:rPr>
        <w:t>：传统铜缆（如NVLink）将GPU互连限制在一两个机架内。CPO的核心爆发点在于解锁“World Scale”的Scale-Up域，支持更大规模的GPU一致性内存共享，彻底打破物理距离对算力集群的束缚</w:t>
      </w:r>
    </w:p>
    <w:p w14:paraId="31741801">
      <w:pPr>
        <w:numPr>
          <w:ilvl w:val="0"/>
          <w:numId w:val="5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主要超大规模运营商已开始规划其Scale-Up CPO策略并向供应商下</w:t>
      </w:r>
    </w:p>
    <w:p w14:paraId="6861375A">
      <w:p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Celestial AI预计到2028日历年末其营收运行率可能达到10亿美元，我们认为这主要由与Amazon Trainium 4协同出货的Scale-Up CPO解决方案所驱动</w:t>
      </w:r>
    </w:p>
    <w:p w14:paraId="39F58207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color w:val="3370FF"/>
          <w:sz w:val="28"/>
        </w:rPr>
        <w:t xml:space="preserve">2.3 </w:t>
      </w:r>
      <w:r>
        <w:rPr>
          <w:rFonts w:ascii="Arial" w:hAnsi="Arial" w:eastAsia="等线" w:cs="Arial"/>
          <w:b/>
          <w:sz w:val="28"/>
          <w:u w:val="single"/>
        </w:rPr>
        <w:t>核心技术路径与工程挑战</w:t>
      </w:r>
      <w:bookmarkEnd w:id="10"/>
    </w:p>
    <w:p w14:paraId="26D9D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CPO的落地是一场封装、调制与耦合的极限博弈，同时也面临着量产与维护的考验：</w:t>
      </w:r>
    </w:p>
    <w:p w14:paraId="5FF66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技术博弈</w:t>
      </w:r>
    </w:p>
    <w:p w14:paraId="7C02B0B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封装集成：</w:t>
      </w:r>
      <w:r>
        <w:rPr>
          <w:rFonts w:ascii="Arial" w:hAnsi="Arial" w:eastAsia="等线" w:cs="Arial"/>
          <w:sz w:val="22"/>
        </w:rPr>
        <w:t>TSMC的COUPE平台（异构集成、混合键合、无凸点接口）正成为行业首选方案，其带宽密度是传统方案的23倍以上。</w:t>
      </w:r>
    </w:p>
    <w:p w14:paraId="5C02DF1D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调制器选择：</w:t>
      </w:r>
    </w:p>
    <w:p w14:paraId="4542322E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MRM（微环调制器）</w:t>
      </w:r>
      <w:r>
        <w:rPr>
          <w:rFonts w:ascii="Arial" w:hAnsi="Arial" w:eastAsia="等线" w:cs="Arial"/>
          <w:sz w:val="22"/>
        </w:rPr>
        <w:t>：尺寸极小、能效高，适合WDM，是NVIDIA和TSMC路线图的核心，但对温度极度敏感</w:t>
      </w:r>
      <w:r>
        <w:rPr>
          <w:rFonts w:ascii="Arial" w:hAnsi="Arial" w:eastAsia="等线" w:cs="Arial"/>
          <w:b/>
          <w:sz w:val="22"/>
          <w:shd w:val="clear" w:fill="FFF67A"/>
        </w:rPr>
        <w:t>（Nvidia）</w:t>
      </w:r>
    </w:p>
    <w:p w14:paraId="36116395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MZM（马赫-曾德尔）</w:t>
      </w:r>
      <w:r>
        <w:rPr>
          <w:rFonts w:ascii="Arial" w:hAnsi="Arial" w:eastAsia="等线" w:cs="Arial"/>
          <w:sz w:val="22"/>
        </w:rPr>
        <w:t>：技术成熟、线性度好，但尺寸巨大</w:t>
      </w:r>
      <w:r>
        <w:rPr>
          <w:rFonts w:ascii="Arial" w:hAnsi="Arial" w:eastAsia="等线" w:cs="Arial"/>
          <w:b/>
          <w:sz w:val="22"/>
          <w:shd w:val="clear" w:fill="FFF67A"/>
        </w:rPr>
        <w:t>（Broadcom）</w:t>
      </w:r>
    </w:p>
    <w:p w14:paraId="6386EF99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EAM（电吸收）：</w:t>
      </w:r>
      <w:r>
        <w:rPr>
          <w:rFonts w:ascii="Arial" w:hAnsi="Arial" w:eastAsia="等线" w:cs="Arial"/>
          <w:sz w:val="22"/>
        </w:rPr>
        <w:t>热稳定性强，适合高功耗XPU近端应用</w:t>
      </w:r>
      <w:r>
        <w:rPr>
          <w:rFonts w:ascii="Arial" w:hAnsi="Arial" w:eastAsia="等线" w:cs="Arial"/>
          <w:sz w:val="22"/>
          <w:shd w:val="clear" w:fill="FFF67A"/>
        </w:rPr>
        <w:t>（Celestial AI等）</w:t>
      </w:r>
    </w:p>
    <w:p w14:paraId="7CF80283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光源策略（ELS）</w:t>
      </w:r>
      <w:r>
        <w:rPr>
          <w:rFonts w:ascii="Arial" w:hAnsi="Arial" w:eastAsia="等线" w:cs="Arial"/>
          <w:sz w:val="22"/>
        </w:rPr>
        <w:t>：行业达成共识采用外置激光源（ELS）。这不仅避免了激光器受GPU高发热影响寿命，也解决了散热并支持现场维护更换。</w:t>
      </w:r>
    </w:p>
    <w:p w14:paraId="19C9863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光路耦合：</w:t>
      </w:r>
      <w:r>
        <w:rPr>
          <w:rFonts w:ascii="Arial" w:hAnsi="Arial" w:eastAsia="等线" w:cs="Arial"/>
          <w:sz w:val="22"/>
        </w:rPr>
        <w:t>自动化的光纤附着单元（FAU）是量产关键。其中，光栅耦合（GC）因支持2D高密度排列和晶圆级测试，正逐渐超越边缘耦合（EC）成为主流</w:t>
      </w:r>
    </w:p>
    <w:p w14:paraId="1F6B0C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工程挑战</w:t>
      </w:r>
    </w:p>
    <w:p w14:paraId="6A9A7ED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“可靠性悖论”与故障半径：</w:t>
      </w:r>
      <w:r>
        <w:rPr>
          <w:rFonts w:ascii="Arial" w:hAnsi="Arial" w:eastAsia="等线" w:cs="Arial"/>
          <w:sz w:val="22"/>
        </w:rPr>
        <w:t>CPO减少了组件数量，但单一光引擎故障可能导致整个昂贵计算节点（ASIC/GPU）报废；其可服务性远逊于热插拔模块，对生产良率提出了苛刻要求</w:t>
      </w:r>
    </w:p>
    <w:p w14:paraId="12C37DED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缺乏标准：</w:t>
      </w:r>
      <w:r>
        <w:rPr>
          <w:rFonts w:ascii="Arial" w:hAnsi="Arial" w:eastAsia="等线" w:cs="Arial"/>
          <w:sz w:val="22"/>
        </w:rPr>
        <w:t>行业目前仍处于专有解决方案主导阶段，厂商间的互操作性标准有待建立和完善</w:t>
      </w:r>
    </w:p>
    <w:p w14:paraId="5BA6E8F9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color w:val="3370FF"/>
          <w:sz w:val="28"/>
        </w:rPr>
        <w:t xml:space="preserve">2.4 </w:t>
      </w:r>
      <w:r>
        <w:rPr>
          <w:rFonts w:ascii="Arial" w:hAnsi="Arial" w:eastAsia="等线" w:cs="Arial"/>
          <w:b/>
          <w:sz w:val="28"/>
          <w:u w:val="single"/>
        </w:rPr>
        <w:t>全球产业生态版图</w:t>
      </w:r>
      <w:bookmarkEnd w:id="11"/>
    </w:p>
    <w:p w14:paraId="6B878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CPO的成功高度依赖半导体与光电产业链的深度协同：</w:t>
      </w:r>
    </w:p>
    <w:p w14:paraId="66399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算力与标准制定巨头：</w:t>
      </w:r>
    </w:p>
    <w:p w14:paraId="7BCF566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NVIDIA（通过Q3450等产品引领供应链成熟）</w:t>
      </w:r>
    </w:p>
    <w:p w14:paraId="27E93AA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Broadcom（交换机已迭代至102.4T带宽）</w:t>
      </w:r>
    </w:p>
    <w:p w14:paraId="2141AF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创新硅光技术：</w:t>
      </w:r>
    </w:p>
    <w:p w14:paraId="465C736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Celestial AI：专注“光子织构”，通过光子中介层实现HBM池化</w:t>
      </w:r>
    </w:p>
    <w:p w14:paraId="49AC850A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Ayar Labs：利用UCIe接口的TeraPHY Chiplet实现标准化互连</w:t>
      </w:r>
    </w:p>
    <w:p w14:paraId="33D6EEB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Lightmatter：推出4000mm²巨型光子中介层Passage，挑战极限I/O带宽</w:t>
      </w:r>
    </w:p>
    <w:p w14:paraId="247D0C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制造与封装：</w:t>
      </w:r>
    </w:p>
    <w:p w14:paraId="60EE1A1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TSMC（台积电）：凭借COUPE平台占据核心制造地位</w:t>
      </w:r>
    </w:p>
    <w:p w14:paraId="0E482C44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ASE（日月光/迅芯）&amp;Fabrinet：负责复杂的后端先进封装与光学集成</w:t>
      </w:r>
    </w:p>
    <w:p w14:paraId="584A8D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光电配套与无源器件：</w:t>
      </w:r>
    </w:p>
    <w:p w14:paraId="49D0601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天孚通信、中际旭创等：在FAU（光纤附着单元）、光学引擎组装、规整盒等精密元器件领域提供关键制造支撑</w:t>
      </w:r>
    </w:p>
    <w:p w14:paraId="735BE94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战略意义追溯：过往战略承接与核心产品发布</w:t>
      </w:r>
      <w:bookmarkEnd w:id="12"/>
    </w:p>
    <w:p w14:paraId="5BBCFA46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color w:val="3370FF"/>
          <w:sz w:val="28"/>
        </w:rPr>
        <w:t xml:space="preserve">3.1 </w:t>
      </w:r>
      <w:r>
        <w:rPr>
          <w:rFonts w:ascii="Arial" w:hAnsi="Arial" w:eastAsia="等线" w:cs="Arial"/>
          <w:b/>
          <w:sz w:val="28"/>
        </w:rPr>
        <w:t>过去战略的承接</w:t>
      </w:r>
      <w:bookmarkEnd w:id="1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CF28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C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Nvidia投资Lumentum与Coherent，与其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去年在数据中心交换机产品线中引入CPO技术的战略部署高度吻合</w:t>
            </w:r>
          </w:p>
        </w:tc>
      </w:tr>
    </w:tbl>
    <w:p w14:paraId="2BAE7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NV在25年3月 GTC 2025期间推出了面向InfiniBand和以太网的两大CPO（共封装光学）数据中心交换机产品线，</w:t>
      </w:r>
      <w:r>
        <w:rPr>
          <w:rFonts w:ascii="Arial" w:hAnsi="Arial" w:eastAsia="等线" w:cs="Arial"/>
          <w:sz w:val="22"/>
          <w:u w:val="single"/>
        </w:rPr>
        <w:t>Lumentum和Coherent均是该技术所需激光组件的核心供应商</w:t>
      </w:r>
    </w:p>
    <w:p w14:paraId="79DB2B1C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GTC 2025期间，英伟达发布了两款CPO交换机系统：</w:t>
      </w:r>
    </w:p>
    <w:p w14:paraId="65DF2D36">
      <w:pPr>
        <w:spacing w:before="120" w:after="120" w:line="288" w:lineRule="auto"/>
        <w:ind w:left="453"/>
      </w:pPr>
      <w:r>
        <w:object>
          <v:shape id="_x0000_i1025" o:spt="75" type="#_x0000_t75" style="height:112pt;width:41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8">
            <o:LockedField>false</o:LockedField>
          </o:OLEObject>
        </w:object>
      </w:r>
    </w:p>
    <w:p w14:paraId="366F9548">
      <w:pPr>
        <w:spacing w:after="120"/>
        <w:ind w:left="453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D95865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核心供应商：Lumentum和Coherent作为CPO技术所需激光组件的核心供应商深度参与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3457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9B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说明：CPO将作为可选配置推出，英伟达仍会继续提供采用可插拔模块的传统交换机系统</w:t>
            </w:r>
          </w:p>
        </w:tc>
      </w:tr>
    </w:tbl>
    <w:p w14:paraId="09B07669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color w:val="3370FF"/>
          <w:sz w:val="28"/>
        </w:rPr>
        <w:t xml:space="preserve">3.2 </w:t>
      </w:r>
      <w:r>
        <w:rPr>
          <w:rFonts w:ascii="Arial" w:hAnsi="Arial" w:eastAsia="等线" w:cs="Arial"/>
          <w:b/>
          <w:sz w:val="28"/>
        </w:rPr>
        <w:t>技术方向：Scale-out 切入，Scale-up 决胜</w:t>
      </w:r>
      <w:bookmarkEnd w:id="14"/>
    </w:p>
    <w:p w14:paraId="3527B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CPO 的核心应用场景：AI 集群的 Scale-out 与 Scale-up</w:t>
      </w:r>
    </w:p>
    <w:p w14:paraId="320E1B5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当前阶段：Scale-out是 低风险切入点</w:t>
      </w:r>
    </w:p>
    <w:p w14:paraId="4BB43B6F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CPO首先应用于网络交换机（Scale-out网络）</w:t>
      </w:r>
    </w:p>
    <w:p w14:paraId="21AD3A61"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通过两代产品周期（2025-2028）验证技术可行性</w:t>
      </w:r>
    </w:p>
    <w:p w14:paraId="2E543A42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大幅降低未来风险</w:t>
      </w:r>
    </w:p>
    <w:p w14:paraId="40B2630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决胜关键：Scale-up（GPU互联）是核心竞争关键——</w:t>
      </w:r>
      <w:r>
        <w:rPr>
          <w:rFonts w:ascii="Arial" w:hAnsi="Arial" w:eastAsia="等线" w:cs="Arial"/>
          <w:b/>
          <w:sz w:val="22"/>
          <w:shd w:val="clear" w:fill="FFF67A"/>
        </w:rPr>
        <w:t>未来做Nvlink CPO</w:t>
      </w:r>
    </w:p>
    <w:p w14:paraId="1E63B7AE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支撑 AI 大模型（尤其是混合专家 MoE 模型）的跨 GPU 专家并行计算，需满足快速响应时间需求</w:t>
      </w:r>
    </w:p>
    <w:p w14:paraId="3C8D3B95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黄仁勋案例：最佳实践需要将单个专家分割到64个GPU实例上运行</w:t>
      </w:r>
    </w:p>
    <w:p w14:paraId="0735592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037188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color w:val="3370FF"/>
          <w:sz w:val="28"/>
        </w:rPr>
        <w:t xml:space="preserve">3.3 </w:t>
      </w:r>
      <w:r>
        <w:rPr>
          <w:rFonts w:ascii="Arial" w:hAnsi="Arial" w:eastAsia="等线" w:cs="Arial"/>
          <w:b/>
          <w:sz w:val="28"/>
        </w:rPr>
        <w:t>NV CPO 的核心逻辑：技术优势与生态支撑</w:t>
      </w:r>
      <w:bookmarkEnd w:id="15"/>
    </w:p>
    <w:p w14:paraId="01437976">
      <w:pPr>
        <w:spacing w:before="240" w:after="120" w:line="288" w:lineRule="auto"/>
        <w:ind w:left="0"/>
        <w:jc w:val="left"/>
        <w:outlineLvl w:val="4"/>
      </w:pPr>
      <w:bookmarkStart w:id="16" w:name="heading_16"/>
      <w:r>
        <w:rPr>
          <w:rFonts w:ascii="Arial" w:hAnsi="Arial" w:eastAsia="等线" w:cs="Arial"/>
          <w:color w:val="3370FF"/>
          <w:sz w:val="24"/>
        </w:rPr>
        <w:t xml:space="preserve">3.3.1 </w:t>
      </w:r>
      <w:r>
        <w:rPr>
          <w:rFonts w:ascii="Arial" w:hAnsi="Arial" w:eastAsia="等线" w:cs="Arial"/>
          <w:b/>
          <w:sz w:val="24"/>
        </w:rPr>
        <w:t>核心优势：功耗革命性优化</w:t>
      </w:r>
      <w:bookmarkEnd w:id="16"/>
    </w:p>
    <w:p w14:paraId="6FF6A51A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关键数据：1.6T 端口功耗从传统可插拔光模块的 </w:t>
      </w:r>
      <w:r>
        <w:rPr>
          <w:rFonts w:ascii="Arial" w:hAnsi="Arial" w:eastAsia="等线" w:cs="Arial"/>
          <w:b/>
          <w:sz w:val="22"/>
        </w:rPr>
        <w:t>30W 降至 9W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降幅 70%</w:t>
      </w:r>
      <w:r>
        <w:rPr>
          <w:rFonts w:ascii="Arial" w:hAnsi="Arial" w:eastAsia="等线" w:cs="Arial"/>
          <w:sz w:val="22"/>
        </w:rPr>
        <w:t>（黄仁勋强调）；</w:t>
      </w:r>
    </w:p>
    <w:p w14:paraId="2772AF2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技术差异：采用新型</w:t>
      </w:r>
      <w:r>
        <w:rPr>
          <w:rFonts w:ascii="Arial" w:hAnsi="Arial" w:eastAsia="等线" w:cs="Arial"/>
          <w:b/>
          <w:sz w:val="22"/>
        </w:rPr>
        <w:t>微环调制器（MRM）</w:t>
      </w:r>
      <w:r>
        <w:rPr>
          <w:rFonts w:ascii="Arial" w:hAnsi="Arial" w:eastAsia="等线" w:cs="Arial"/>
          <w:sz w:val="22"/>
        </w:rPr>
        <w:t xml:space="preserve"> 实现能效跃升，区别于博通 CPO 方案的 Mach-Zehnder 调制器（MZM）（博通仅通过去除 DSP 实现 50% 功耗降低）</w:t>
      </w:r>
    </w:p>
    <w:p w14:paraId="0719C574">
      <w:pPr>
        <w:spacing w:before="120" w:after="120" w:line="288" w:lineRule="auto"/>
        <w:ind w:left="0"/>
      </w:pPr>
      <w:r>
        <w:object>
          <v:shape id="_x0000_i1026" o:spt="75" type="#_x0000_t75" style="height:58pt;width:41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20">
            <o:LockedField>false</o:LockedField>
          </o:OLEObject>
        </w:object>
      </w:r>
    </w:p>
    <w:p w14:paraId="66A6C98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9C20540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相比 Broadcom 早期的 MZM 方案，MRM 具备三大优势：</w:t>
      </w:r>
    </w:p>
    <w:p w14:paraId="1FF888A6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尺寸紧凑（仅 25-225µm²，为 MZM 的 1/50），支持更高密度集成；</w:t>
      </w:r>
    </w:p>
    <w:p w14:paraId="1EC6D5B2">
      <w:pPr>
        <w:numPr>
          <w:ilvl w:val="0"/>
          <w:numId w:val="8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驱动电压低（亚电压级别），单通道功耗降低 30%；</w:t>
      </w:r>
    </w:p>
    <w:p w14:paraId="0567191E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内置 WDM 复用能力，支持未来通过增加波长数扩展带宽。Nvidia 通过优化温控算法（支持 ±0.1℃ 精度控制），解决了 MRM 温度敏感的行业痛点，实现 50-80℃ 宽温工作范围</w:t>
      </w:r>
    </w:p>
    <w:p w14:paraId="1FA65AA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封装与集成方案</w:t>
      </w:r>
    </w:p>
    <w:p w14:paraId="1490649A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依托 TSMC COUPE 平台实现 PIC（光子芯片） 与 EIC （电子驱动芯片）的混合键合（把光芯片和电芯片</w:t>
      </w:r>
      <w:r>
        <w:rPr>
          <w:rFonts w:ascii="Arial" w:hAnsi="Arial" w:eastAsia="等线" w:cs="Arial"/>
          <w:b/>
          <w:sz w:val="22"/>
        </w:rPr>
        <w:t>面对面直接焊在一起</w:t>
      </w:r>
      <w:r>
        <w:rPr>
          <w:rFonts w:ascii="Arial" w:hAnsi="Arial" w:eastAsia="等线" w:cs="Arial"/>
          <w:sz w:val="22"/>
        </w:rPr>
        <w:t>，而不是用线连），相比传统 wirebond 或 FOWLP 方案，键合间距缩小至 0.25x，寄生参数降低 80%，支持 10.7x 更高的 MRM 密度，</w:t>
      </w:r>
      <w:r>
        <w:rPr>
          <w:rFonts w:ascii="Arial" w:hAnsi="Arial" w:eastAsia="等线" w:cs="Arial"/>
          <w:b/>
          <w:sz w:val="22"/>
        </w:rPr>
        <w:t>为 OE 带宽从 1.6T 向 12.8T 演进奠定基础</w:t>
      </w:r>
    </w:p>
    <w:p w14:paraId="1FA3ADF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生态协同优势</w:t>
      </w:r>
    </w:p>
    <w:p w14:paraId="60597040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Nvidia CPO 产品与自身 GPU 集群（如 GB200、Rubin Ultra）深度协同，通过 </w:t>
      </w:r>
      <w:r>
        <w:rPr>
          <w:rFonts w:ascii="Arial" w:hAnsi="Arial" w:eastAsia="等线" w:cs="Arial"/>
          <w:b/>
          <w:sz w:val="22"/>
        </w:rPr>
        <w:t>NVLink 与 CPO 互联的无缝衔接，实现 “算力 - 互联” 一体化优化</w:t>
      </w:r>
      <w:r>
        <w:rPr>
          <w:rFonts w:ascii="Arial" w:hAnsi="Arial" w:eastAsia="等线" w:cs="Arial"/>
          <w:sz w:val="22"/>
        </w:rPr>
        <w:t>，相比第三方 CPO 方案</w:t>
      </w:r>
      <w:r>
        <w:rPr>
          <w:rFonts w:ascii="Arial" w:hAnsi="Arial" w:eastAsia="等线" w:cs="Arial"/>
          <w:b/>
          <w:sz w:val="22"/>
        </w:rPr>
        <w:t>降低 20% 系统延迟</w:t>
      </w:r>
      <w:r>
        <w:rPr>
          <w:rFonts w:ascii="Arial" w:hAnsi="Arial" w:eastAsia="等线" w:cs="Arial"/>
          <w:sz w:val="22"/>
        </w:rPr>
        <w:t xml:space="preserve">；同时联合 Lumentum、Ayar Labs 等激光厂商构建 </w:t>
      </w:r>
      <w:r>
        <w:rPr>
          <w:rFonts w:ascii="Arial" w:hAnsi="Arial" w:eastAsia="等线" w:cs="Arial"/>
          <w:b/>
          <w:sz w:val="22"/>
        </w:rPr>
        <w:t>ELS 生态</w:t>
      </w:r>
      <w:r>
        <w:rPr>
          <w:rFonts w:ascii="Arial" w:hAnsi="Arial" w:eastAsia="等线" w:cs="Arial"/>
          <w:sz w:val="22"/>
        </w:rPr>
        <w:t>，确保光源稳定性与供货能力</w:t>
      </w:r>
    </w:p>
    <w:p w14:paraId="4C0EFAD2">
      <w:pPr>
        <w:spacing w:before="240" w:after="120" w:line="288" w:lineRule="auto"/>
        <w:ind w:left="0"/>
        <w:jc w:val="left"/>
        <w:outlineLvl w:val="4"/>
      </w:pPr>
      <w:bookmarkStart w:id="17" w:name="heading_17"/>
      <w:r>
        <w:rPr>
          <w:rFonts w:ascii="Arial" w:hAnsi="Arial" w:eastAsia="等线" w:cs="Arial"/>
          <w:color w:val="3370FF"/>
          <w:sz w:val="24"/>
        </w:rPr>
        <w:t xml:space="preserve">3.3.2 </w:t>
      </w:r>
      <w:r>
        <w:rPr>
          <w:rFonts w:ascii="Arial" w:hAnsi="Arial" w:eastAsia="等线" w:cs="Arial"/>
          <w:b/>
          <w:sz w:val="24"/>
        </w:rPr>
        <w:t>多元组件生态（产业链生态）</w:t>
      </w:r>
      <w:bookmarkEnd w:id="17"/>
    </w:p>
    <w:p w14:paraId="5A8D951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核心技术整合：台积电（电子芯片 + 光子芯片 3D 堆叠封装；COUPE(紧凑型通用光子引擎)技术——</w:t>
      </w:r>
      <w:r>
        <w:rPr>
          <w:rFonts w:ascii="Arial" w:hAnsi="Arial" w:eastAsia="等线" w:cs="Arial"/>
          <w:sz w:val="22"/>
          <w:u w:val="single"/>
        </w:rPr>
        <w:t>整合用于光纤阵列</w:t>
      </w:r>
      <w:r>
        <w:rPr>
          <w:rFonts w:ascii="Arial" w:hAnsi="Arial" w:eastAsia="等线" w:cs="Arial"/>
          <w:b/>
          <w:sz w:val="22"/>
          <w:u w:val="single"/>
        </w:rPr>
        <w:t>表面耦合</w:t>
      </w:r>
      <w:r>
        <w:rPr>
          <w:rFonts w:ascii="Arial" w:hAnsi="Arial" w:eastAsia="等线" w:cs="Arial"/>
          <w:sz w:val="22"/>
          <w:u w:val="single"/>
        </w:rPr>
        <w:t>的微透镜</w:t>
      </w:r>
    </w:p>
    <w:p w14:paraId="7209B97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关键连接：在Quantum-X Photonic平台中，光学引擎组件通过中介层与交换机ASIC连接</w:t>
      </w:r>
    </w:p>
    <w:p w14:paraId="74352943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合作伙伴矩阵：Browave、</w:t>
      </w:r>
      <w:r>
        <w:rPr>
          <w:rFonts w:ascii="Arial" w:hAnsi="Arial" w:eastAsia="等线" w:cs="Arial"/>
          <w:b/>
          <w:sz w:val="22"/>
        </w:rPr>
        <w:t>Coherent</w:t>
      </w:r>
      <w:r>
        <w:rPr>
          <w:rFonts w:ascii="Arial" w:hAnsi="Arial" w:eastAsia="等线" w:cs="Arial"/>
          <w:sz w:val="22"/>
        </w:rPr>
        <w:t>、Corning、Fabrinet、富士康、</w:t>
      </w:r>
      <w:r>
        <w:rPr>
          <w:rFonts w:ascii="Arial" w:hAnsi="Arial" w:eastAsia="等线" w:cs="Arial"/>
          <w:b/>
          <w:sz w:val="22"/>
        </w:rPr>
        <w:t>Lumentum</w:t>
      </w:r>
      <w:r>
        <w:rPr>
          <w:rFonts w:ascii="Arial" w:hAnsi="Arial" w:eastAsia="等线" w:cs="Arial"/>
          <w:sz w:val="22"/>
        </w:rPr>
        <w:t>、Senko、SPIL、住友、天孚通信、台积电等，覆盖芯片、封装、光组件、制造全环节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2140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58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Broadcom CPO partner：Corning、SPIL、FIT、TwinstarTech、Juniper networks、Micas networks、H3C、锐捷、AELTA</w:t>
            </w:r>
          </w:p>
        </w:tc>
      </w:tr>
    </w:tbl>
    <w:p w14:paraId="76872B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3AFD49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color w:val="3370FF"/>
          <w:sz w:val="28"/>
        </w:rPr>
        <w:t xml:space="preserve">3.4 </w:t>
      </w:r>
      <w:r>
        <w:rPr>
          <w:rFonts w:ascii="Arial" w:hAnsi="Arial" w:eastAsia="等线" w:cs="Arial"/>
          <w:b/>
          <w:sz w:val="28"/>
        </w:rPr>
        <w:t>NV CPO 产品portfolio</w:t>
      </w:r>
      <w:bookmarkEnd w:id="1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6935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1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Nvidia 作为 CPO（共封装光学）领域的核心推动者，凭借其在 AI 算力与网络互联的深度协同优势，构建了覆盖 InfiniBand 与 Ethernet 双协议、面向不同规模数据中心需求的完整 CPO 产品线</w:t>
            </w:r>
          </w:p>
          <w:p w14:paraId="7DB1B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其产品布局以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 xml:space="preserve"> “Scale-out 先行验证、Scale-up 终极突破”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为核心逻辑，通过多代际产品迭代逐步完善技术生态</w:t>
            </w:r>
          </w:p>
        </w:tc>
      </w:tr>
    </w:tbl>
    <w:p w14:paraId="65F66A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 GTC 2025主题演讲宣布了</w:t>
      </w:r>
      <w:r>
        <w:rPr>
          <w:rFonts w:ascii="Arial" w:hAnsi="Arial" w:eastAsia="等线" w:cs="Arial"/>
          <w:b/>
          <w:sz w:val="22"/>
        </w:rPr>
        <w:t>三款不同的CPO扩展交换机</w:t>
      </w:r>
      <w:r>
        <w:rPr>
          <w:rFonts w:ascii="Arial" w:hAnsi="Arial" w:eastAsia="等线" w:cs="Arial"/>
          <w:sz w:val="22"/>
        </w:rPr>
        <w:t>，分别采用了</w:t>
      </w:r>
      <w:r>
        <w:rPr>
          <w:rFonts w:ascii="Arial" w:hAnsi="Arial" w:eastAsia="等线" w:cs="Arial"/>
          <w:b/>
          <w:sz w:val="22"/>
        </w:rPr>
        <w:t>两款不同的CPO支持的交换机ASIC</w:t>
      </w:r>
      <w:r>
        <w:rPr>
          <w:rFonts w:ascii="Arial" w:hAnsi="Arial" w:eastAsia="等线" w:cs="Arial"/>
          <w:sz w:val="22"/>
        </w:rPr>
        <w:t xml:space="preserve">，涵盖 </w:t>
      </w:r>
      <w:r>
        <w:rPr>
          <w:rFonts w:ascii="Arial" w:hAnsi="Arial" w:eastAsia="等线" w:cs="Arial"/>
          <w:b/>
          <w:sz w:val="22"/>
        </w:rPr>
        <w:t>InfiniBand 与 Ethernet 两大主流网络标准</w:t>
      </w:r>
      <w:r>
        <w:rPr>
          <w:rFonts w:ascii="Arial" w:hAnsi="Arial" w:eastAsia="等线" w:cs="Arial"/>
          <w:sz w:val="22"/>
        </w:rPr>
        <w:t>，形成从 115.2T 到 409.6T  aggregate 带宽的全场景覆盖</w:t>
      </w:r>
    </w:p>
    <w:p w14:paraId="31FC6563">
      <w:pPr>
        <w:spacing w:before="120" w:after="120" w:line="288" w:lineRule="auto"/>
        <w:ind w:left="0"/>
      </w:pPr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22">
            <o:LockedField>false</o:LockedField>
          </o:OLEObject>
        </w:object>
      </w:r>
    </w:p>
    <w:p w14:paraId="4973631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4D3C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D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注：Spectrum 系列 CPO 预留 4 个冗余 OE，应对大规模部署中的单点故障问题，提升系统可用性</w:t>
            </w:r>
          </w:p>
        </w:tc>
      </w:tr>
    </w:tbl>
    <w:p w14:paraId="459D6B17">
      <w:pPr>
        <w:spacing w:before="240" w:after="120" w:line="288" w:lineRule="auto"/>
        <w:ind w:left="0"/>
        <w:jc w:val="left"/>
        <w:outlineLvl w:val="4"/>
      </w:pPr>
      <w:bookmarkStart w:id="19" w:name="heading_19"/>
      <w:r>
        <w:rPr>
          <w:rFonts w:ascii="Arial" w:hAnsi="Arial" w:eastAsia="等线" w:cs="Arial"/>
          <w:color w:val="3370FF"/>
          <w:sz w:val="24"/>
        </w:rPr>
        <w:t xml:space="preserve">3.4.1 </w:t>
      </w:r>
      <w:r>
        <w:rPr>
          <w:rFonts w:ascii="Arial" w:hAnsi="Arial" w:eastAsia="等线" w:cs="Arial"/>
          <w:b/>
          <w:sz w:val="24"/>
          <w:shd w:val="clear" w:fill="FFF67A"/>
        </w:rPr>
        <w:t>Quantum 3450 CPO（InfiniBand 协议，2025 下半年上市）</w:t>
      </w:r>
      <w:bookmarkEnd w:id="19"/>
    </w:p>
    <w:p w14:paraId="5F36FFEC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</w:t>
      </w:r>
    </w:p>
    <w:p w14:paraId="3142BF88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Nvidia 首款量产 CPO 产品，为NV CPO 技术进行 “市场验证”；</w:t>
      </w:r>
    </w:p>
    <w:p w14:paraId="1074E4A1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聚焦</w:t>
      </w:r>
      <w:r>
        <w:rPr>
          <w:rFonts w:ascii="Arial" w:hAnsi="Arial" w:eastAsia="等线" w:cs="Arial"/>
          <w:b/>
          <w:sz w:val="22"/>
        </w:rPr>
        <w:t>高端 AI 集群后端互联；</w:t>
      </w:r>
    </w:p>
    <w:p w14:paraId="0E3AFB66">
      <w:pPr>
        <w:numPr>
          <w:ilvl w:val="0"/>
          <w:numId w:val="9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替代传统 InfiniBand 交换机的 DSP 光模块方案，降低功耗与延迟</w:t>
      </w:r>
    </w:p>
    <w:p w14:paraId="5D88922C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产品核心特性</w:t>
      </w:r>
    </w:p>
    <w:p w14:paraId="0807D17D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架构设计</w:t>
      </w:r>
      <w:r>
        <w:rPr>
          <w:rFonts w:ascii="Arial" w:hAnsi="Arial" w:eastAsia="等线" w:cs="Arial"/>
          <w:sz w:val="22"/>
        </w:rPr>
        <w:t>：采用四芯片多平面（multi-plane）配置，4 颗 Quantum-3 ASIC 芯片通过内部互联实现 115.2T 聚合带宽，每颗 ASIC 独立提供 28.8Tbps 吞吐量，支持 746,496 个 GPU 组成的三层网络集群，满足超大规模 AI 训练的互联需求</w:t>
      </w:r>
    </w:p>
    <w:p w14:paraId="49A3B02D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光学引擎配置</w:t>
      </w:r>
      <w:r>
        <w:rPr>
          <w:rFonts w:ascii="Arial" w:hAnsi="Arial" w:eastAsia="等线" w:cs="Arial"/>
          <w:sz w:val="22"/>
        </w:rPr>
        <w:t>：每颗 ASIC 搭配 18 个 1.6Tbps 光学引擎，整机共 72 个 OE，每个 OE 集成 8 个电通道与 8 个光通道，电气侧采用 200G PAM4 SerDes，光学侧创新采用 200G 微环调制器（MRM），突破行业对 MRM 仅支持 NRZ 调制的认知，实现与 MZM 相当的速率性能</w:t>
      </w:r>
    </w:p>
    <w:p w14:paraId="3402D5E8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封装与散热</w:t>
      </w:r>
      <w:r>
        <w:rPr>
          <w:rFonts w:ascii="Arial" w:hAnsi="Arial" w:eastAsia="等线" w:cs="Arial"/>
          <w:sz w:val="22"/>
        </w:rPr>
        <w:t>：光学引擎采用 TSMC COUPE 混合键合方案，PIC（光子集成电路）基于成熟 N65 工艺（光学器件无需先进制程），EIC（电子集成电路）采用 N6 先进制程（优化驱动与控制逻辑功耗）；整机配备闭环液冷系统，通过铜质冷板为 ASIC 与温度敏感的光学组件协同散热，确保工作温度稳定性</w:t>
      </w:r>
    </w:p>
    <w:p w14:paraId="6EE69B1F">
      <w:pPr>
        <w:numPr>
          <w:ilvl w:val="0"/>
          <w:numId w:val="10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部署优势</w:t>
      </w:r>
      <w:r>
        <w:rPr>
          <w:rFonts w:ascii="Arial" w:hAnsi="Arial" w:eastAsia="等线" w:cs="Arial"/>
          <w:sz w:val="22"/>
        </w:rPr>
        <w:t>：144 个 800G MPO 端口支持直接对接 GPU 集群，内部集成数据 “shuffle” 功能，相比传统离散交换机减少 70% 外部光纤连接，降低部署复杂度</w:t>
      </w:r>
    </w:p>
    <w:p w14:paraId="2BEFDA71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技术突破</w:t>
      </w:r>
    </w:p>
    <w:p w14:paraId="607398F0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首次实现 200G PAM4 调制的 MRM 量产，相比传统 MZM 调制器缩小 98% 芯片面积，单 OE 功耗仅 4-5W/800G，较传统 DSP 光模块（16-17W/800G）降低 73% 功耗</w:t>
      </w:r>
    </w:p>
    <w:p w14:paraId="51C736F0">
      <w:pPr>
        <w:numPr>
          <w:ilvl w:val="0"/>
          <w:numId w:val="1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光学引擎采用可拆卸式光学子组件设计，虽本质接近 “近封装光学（NPO）”，但通过优化接口设计将信号损耗控制在可忽略范围，平衡服务 ability 与性能</w:t>
      </w:r>
    </w:p>
    <w:p w14:paraId="6A531331">
      <w:pPr>
        <w:spacing w:before="240" w:after="120" w:line="288" w:lineRule="auto"/>
        <w:ind w:left="0"/>
        <w:jc w:val="left"/>
        <w:outlineLvl w:val="4"/>
      </w:pPr>
      <w:bookmarkStart w:id="20" w:name="heading_20"/>
      <w:r>
        <w:rPr>
          <w:rFonts w:ascii="Arial" w:hAnsi="Arial" w:eastAsia="等线" w:cs="Arial"/>
          <w:color w:val="3370FF"/>
          <w:sz w:val="24"/>
        </w:rPr>
        <w:t xml:space="preserve">3.4.2 </w:t>
      </w:r>
      <w:r>
        <w:rPr>
          <w:rFonts w:ascii="Arial" w:hAnsi="Arial" w:eastAsia="等线" w:cs="Arial"/>
          <w:b/>
          <w:sz w:val="24"/>
          <w:shd w:val="clear" w:fill="FFF67A"/>
        </w:rPr>
        <w:t>Spectrum 6810 CPO（Ethernet 协议，2026 下半年上市）</w:t>
      </w:r>
      <w:bookmarkEnd w:id="20"/>
    </w:p>
    <w:p w14:paraId="7043B600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</w:t>
      </w:r>
    </w:p>
    <w:p w14:paraId="13F7CEC9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Nvidia 首款 Ethernet 协议 CPO 产品，</w:t>
      </w:r>
    </w:p>
    <w:p w14:paraId="1C99EC48">
      <w:pPr>
        <w:numPr>
          <w:ilvl w:val="0"/>
          <w:numId w:val="1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面向</w:t>
      </w:r>
      <w:r>
        <w:rPr>
          <w:rFonts w:ascii="Arial" w:hAnsi="Arial" w:eastAsia="等线" w:cs="Arial"/>
          <w:b/>
          <w:sz w:val="22"/>
        </w:rPr>
        <w:t>中大型企业级</w:t>
      </w:r>
      <w:r>
        <w:rPr>
          <w:rFonts w:ascii="Arial" w:hAnsi="Arial" w:eastAsia="等线" w:cs="Arial"/>
          <w:sz w:val="22"/>
        </w:rPr>
        <w:t xml:space="preserve"> AI 集群与云服务提供商；聚焦</w:t>
      </w:r>
      <w:r>
        <w:rPr>
          <w:rFonts w:ascii="Arial" w:hAnsi="Arial" w:eastAsia="等线" w:cs="Arial"/>
          <w:b/>
          <w:sz w:val="22"/>
        </w:rPr>
        <w:t xml:space="preserve"> “高性价比 + 灵活扩展”，</w:t>
      </w:r>
    </w:p>
    <w:p w14:paraId="2913972A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填补 Quantum 系列与</w:t>
      </w:r>
      <w:r>
        <w:rPr>
          <w:rFonts w:ascii="Arial" w:hAnsi="Arial" w:eastAsia="等线" w:cs="Arial"/>
          <w:b/>
          <w:sz w:val="22"/>
        </w:rPr>
        <w:t>传统 Ethernet 交换机</w:t>
      </w:r>
      <w:r>
        <w:rPr>
          <w:rFonts w:ascii="Arial" w:hAnsi="Arial" w:eastAsia="等线" w:cs="Arial"/>
          <w:sz w:val="22"/>
        </w:rPr>
        <w:t>之间的市场空白</w:t>
      </w:r>
    </w:p>
    <w:p w14:paraId="52D3B160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产品核心特性</w:t>
      </w:r>
    </w:p>
    <w:p w14:paraId="33D43BDE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架构设计</w:t>
      </w:r>
      <w:r>
        <w:rPr>
          <w:rFonts w:ascii="Arial" w:hAnsi="Arial" w:eastAsia="等线" w:cs="Arial"/>
          <w:sz w:val="22"/>
        </w:rPr>
        <w:t>：采用单封装集成方案，一颗 Spectrum-6 MCM（多芯片模块）作为核心，周围环绕 8 个 224G SerDes I/O 小芯片（每侧 2 个），单封装实现 102.4Tbps 吞吐量，支持从 200G 到 800G 的多速率逻辑端口配置，适配不同终端设备互联需求</w:t>
      </w:r>
    </w:p>
    <w:p w14:paraId="140DA2A6">
      <w:pPr>
        <w:numPr>
          <w:ilvl w:val="0"/>
          <w:numId w:val="1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光学引擎升级</w:t>
      </w:r>
      <w:r>
        <w:rPr>
          <w:rFonts w:ascii="Arial" w:hAnsi="Arial" w:eastAsia="等线" w:cs="Arial"/>
          <w:sz w:val="22"/>
        </w:rPr>
        <w:t>：搭载第二代 3.2Tbps 光学引擎，每个 OE 包含 16 个 200G 光学通道，采用焊接式基板集成（无冗余时不可更换），通过增加通道数提升单 OE 带宽，相比 Quantum 系列的 1.6T OE 实现翻倍提升</w:t>
      </w:r>
    </w:p>
    <w:p w14:paraId="627E4873">
      <w:pPr>
        <w:numPr>
          <w:ilvl w:val="0"/>
          <w:numId w:val="1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兼容性设计</w:t>
      </w:r>
      <w:r>
        <w:rPr>
          <w:rFonts w:ascii="Arial" w:hAnsi="Arial" w:eastAsia="等线" w:cs="Arial"/>
          <w:sz w:val="22"/>
        </w:rPr>
        <w:t>：严格遵循 Ethernet DR 光学标准，可与现有 Ethernet 光模块生态兼容，支持与非 CPO 设备混合部署，降低用户迁移成本；SerDes 速率保持 200G 统一标准，便于供应链规模化与成本控制</w:t>
      </w:r>
    </w:p>
    <w:p w14:paraId="638F132E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定位差异</w:t>
      </w:r>
    </w:p>
    <w:p w14:paraId="3A2E53D6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相比 Quantum 3450 CPO，Spectrum 6810 更侧重通用性，支持 200G/400G/800G 多速率端口拆分，可同时满足 AI 算力互联与传统服务器接入需求，适合混合负载数据中心</w:t>
      </w:r>
    </w:p>
    <w:p w14:paraId="77B75A5E">
      <w:pPr>
        <w:spacing w:before="240" w:after="120" w:line="288" w:lineRule="auto"/>
        <w:ind w:left="0"/>
        <w:jc w:val="left"/>
        <w:outlineLvl w:val="4"/>
      </w:pPr>
      <w:bookmarkStart w:id="21" w:name="heading_21"/>
      <w:r>
        <w:rPr>
          <w:rFonts w:ascii="Arial" w:hAnsi="Arial" w:eastAsia="等线" w:cs="Arial"/>
          <w:color w:val="3370FF"/>
          <w:sz w:val="24"/>
        </w:rPr>
        <w:t xml:space="preserve">3.4.3 </w:t>
      </w:r>
      <w:r>
        <w:rPr>
          <w:rFonts w:ascii="Arial" w:hAnsi="Arial" w:eastAsia="等线" w:cs="Arial"/>
          <w:b/>
          <w:sz w:val="24"/>
          <w:shd w:val="clear" w:fill="FFF67A"/>
        </w:rPr>
        <w:t>Spectrum 6800 CPO（Ethernet 协议，2026 下半年上市）</w:t>
      </w:r>
      <w:bookmarkEnd w:id="21"/>
    </w:p>
    <w:p w14:paraId="563BF71E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产品定位</w:t>
      </w:r>
      <w:r>
        <w:rPr>
          <w:rFonts w:ascii="Arial" w:hAnsi="Arial" w:eastAsia="等线" w:cs="Arial"/>
          <w:sz w:val="22"/>
        </w:rPr>
        <w:t>：</w:t>
      </w:r>
    </w:p>
    <w:p w14:paraId="4150BBDB">
      <w:pPr>
        <w:numPr>
          <w:ilvl w:val="0"/>
          <w:numId w:val="1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Nvidia 目前带宽最高的 CPO 产品</w:t>
      </w:r>
    </w:p>
    <w:p w14:paraId="3C61B354">
      <w:pPr>
        <w:numPr>
          <w:ilvl w:val="0"/>
          <w:numId w:val="1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面向</w:t>
      </w:r>
      <w:r>
        <w:rPr>
          <w:rFonts w:ascii="Arial" w:hAnsi="Arial" w:eastAsia="等线" w:cs="Arial"/>
          <w:b/>
          <w:sz w:val="22"/>
        </w:rPr>
        <w:t>超大规模云厂商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超大规模 AI 集群</w:t>
      </w:r>
      <w:r>
        <w:rPr>
          <w:rFonts w:ascii="Arial" w:hAnsi="Arial" w:eastAsia="等线" w:cs="Arial"/>
          <w:sz w:val="22"/>
        </w:rPr>
        <w:t xml:space="preserve">，主打 </w:t>
      </w:r>
      <w:r>
        <w:rPr>
          <w:rFonts w:ascii="Arial" w:hAnsi="Arial" w:eastAsia="等线" w:cs="Arial"/>
          <w:b/>
          <w:sz w:val="22"/>
        </w:rPr>
        <w:t>“极致密度 + 海量连接”</w:t>
      </w:r>
      <w:r>
        <w:rPr>
          <w:rFonts w:ascii="Arial" w:hAnsi="Arial" w:eastAsia="等线" w:cs="Arial"/>
          <w:sz w:val="22"/>
        </w:rPr>
        <w:t>，</w:t>
      </w:r>
    </w:p>
    <w:p w14:paraId="2570BDF7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产品核心特性</w:t>
      </w:r>
    </w:p>
    <w:p w14:paraId="0EE4AF87">
      <w:pPr>
        <w:numPr>
          <w:ilvl w:val="0"/>
          <w:numId w:val="1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架构设计</w:t>
      </w:r>
      <w:r>
        <w:rPr>
          <w:rFonts w:ascii="Arial" w:hAnsi="Arial" w:eastAsia="等线" w:cs="Arial"/>
          <w:sz w:val="22"/>
        </w:rPr>
        <w:t>：沿用四封装多平面配置，4 颗 Spectrum-6 MCM 协同工作，实现 409.6T 聚合带宽，支持 131,072 个 GPU 组成的两层网络集群，相比传统 Ethernet 交换机减少 50% 网络层级，降低端到端延迟。</w:t>
      </w:r>
    </w:p>
    <w:p w14:paraId="4F3ADBCC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端口与互联</w:t>
      </w:r>
      <w:r>
        <w:rPr>
          <w:rFonts w:ascii="Arial" w:hAnsi="Arial" w:eastAsia="等线" w:cs="Arial"/>
          <w:sz w:val="22"/>
        </w:rPr>
        <w:t>：512 个 800G MPO 物理端口，通过内部 breakout 设计将每个端口连接至 4 个 ASIC，实现无阻塞数据转发；支持 “单端口多路径” 冗余，提升大规模部署的可靠性。</w:t>
      </w:r>
    </w:p>
    <w:p w14:paraId="1DE11F4B">
      <w:pPr>
        <w:numPr>
          <w:ilvl w:val="0"/>
          <w:numId w:val="1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光学与电气协同</w:t>
      </w:r>
      <w:r>
        <w:rPr>
          <w:rFonts w:ascii="Arial" w:hAnsi="Arial" w:eastAsia="等线" w:cs="Arial"/>
          <w:sz w:val="22"/>
        </w:rPr>
        <w:t>：每个 I/O 小芯片提供 12.8T 单向带宽（64 个 SerDes 通道），与 4 个 OE 直接互联，通过缩短电气链路长度（仅数毫米）消除传统交换机的 LR SerDes 功耗损耗，整机 networking 功耗较传统方案降低 48%。</w:t>
      </w:r>
    </w:p>
    <w:p w14:paraId="1BC2CB28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技术亮点</w:t>
      </w:r>
    </w:p>
    <w:p w14:paraId="73D5201E">
      <w:pPr>
        <w:numPr>
          <w:ilvl w:val="0"/>
          <w:numId w:val="1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采用 TSMC 110mm×110mm 超大尺寸基板，突破封装面积限制，实现 36 个 OE 高密度集成（32 个激活 + 4 个冗余），带宽密度达到 3.2Tbps/mm²，领先行业同类产品</w:t>
      </w:r>
    </w:p>
    <w:p w14:paraId="41F978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63DC62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color w:val="3370FF"/>
          <w:sz w:val="28"/>
        </w:rPr>
        <w:t xml:space="preserve">3.5 </w:t>
      </w:r>
      <w:r>
        <w:rPr>
          <w:rFonts w:ascii="Arial" w:hAnsi="Arial" w:eastAsia="等线" w:cs="Arial"/>
          <w:b/>
          <w:sz w:val="28"/>
        </w:rPr>
        <w:t>NV CPO产品roadmap</w:t>
      </w:r>
      <w:bookmarkEnd w:id="22"/>
    </w:p>
    <w:p w14:paraId="44D85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产品演进逻辑与市场定位</w:t>
      </w:r>
    </w:p>
    <w:p w14:paraId="2C257F16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以 Quantum 3450 CPO </w:t>
      </w:r>
      <w:r>
        <w:rPr>
          <w:rFonts w:ascii="Arial" w:hAnsi="Arial" w:eastAsia="等线" w:cs="Arial"/>
          <w:b/>
          <w:sz w:val="22"/>
        </w:rPr>
        <w:t>验证 InfiniBand 场景的技术成熟度</w:t>
      </w:r>
      <w:r>
        <w:rPr>
          <w:rFonts w:ascii="Arial" w:hAnsi="Arial" w:eastAsia="等线" w:cs="Arial"/>
          <w:sz w:val="22"/>
        </w:rPr>
        <w:t>，解决超大规模 AI 训练的互联瓶颈；</w:t>
      </w:r>
    </w:p>
    <w:p w14:paraId="6E44C46F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以 Spectrum 6810/6800 </w:t>
      </w:r>
      <w:r>
        <w:rPr>
          <w:rFonts w:ascii="Arial" w:hAnsi="Arial" w:eastAsia="等线" w:cs="Arial"/>
          <w:b/>
          <w:sz w:val="22"/>
        </w:rPr>
        <w:t>拓展 Ethernet 市场</w:t>
      </w:r>
      <w:r>
        <w:rPr>
          <w:rFonts w:ascii="Arial" w:hAnsi="Arial" w:eastAsia="等线" w:cs="Arial"/>
          <w:sz w:val="22"/>
        </w:rPr>
        <w:t>，覆盖更广泛的企业级与云服务场景；</w:t>
      </w:r>
    </w:p>
    <w:p w14:paraId="1E86E274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未来将 OE 带宽从 3.2T 提升至 12.8T，通过 WDM 波长扩展（支持 16-64 个波长）与 2D 光纤阵列（36 纤芯以上），</w:t>
      </w:r>
      <w:r>
        <w:rPr>
          <w:rFonts w:ascii="Arial" w:hAnsi="Arial" w:eastAsia="等线" w:cs="Arial"/>
          <w:b/>
          <w:sz w:val="22"/>
        </w:rPr>
        <w:t>实现 Scale-up 场景的跨机架互联</w:t>
      </w:r>
      <w:r>
        <w:rPr>
          <w:rFonts w:ascii="Arial" w:hAnsi="Arial" w:eastAsia="等线" w:cs="Arial"/>
          <w:sz w:val="22"/>
        </w:rPr>
        <w:t>，最终</w:t>
      </w:r>
      <w:r>
        <w:rPr>
          <w:rFonts w:ascii="Arial" w:hAnsi="Arial" w:eastAsia="等线" w:cs="Arial"/>
          <w:b/>
          <w:sz w:val="22"/>
        </w:rPr>
        <w:t>替代铜基 NVLink 成为 Scale-up 互联的核心方案</w:t>
      </w:r>
    </w:p>
    <w:p w14:paraId="6E65BA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 Broadcom 侧重 “全场景通用” 不同，Nvidia CPO 产品始终围绕 AI 算力互联优化，通过软硬件协同（如 SHARP 网络内计算、NVLink-C2C 接口）构建差异化优势，成为超大规模 AI 集群的首选互联方案。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9"/>
        <w:gridCol w:w="4120"/>
      </w:tblGrid>
      <w:tr w14:paraId="75014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E765C"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32991">
            <w:pPr>
              <w:spacing w:before="120" w:after="120" w:line="288" w:lineRule="auto"/>
              <w:ind w:left="0"/>
              <w:jc w:val="center"/>
            </w:pPr>
          </w:p>
        </w:tc>
      </w:tr>
    </w:tbl>
    <w:p w14:paraId="7DA27B75">
      <w:pPr>
        <w:spacing w:before="120" w:after="120" w:line="288" w:lineRule="auto"/>
        <w:ind w:left="0"/>
      </w:pPr>
      <w:r>
        <w:object>
          <v:shape id="_x0000_i1028" o:spt="75" type="#_x0000_t75" style="height:112pt;width:43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24">
            <o:LockedField>false</o:LockedField>
          </o:OLEObject>
        </w:object>
      </w:r>
    </w:p>
    <w:p w14:paraId="52A7633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11B5CF3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预计2025 年下半年：Quantum-X Photonic上市</w:t>
      </w:r>
    </w:p>
    <w:p w14:paraId="20765E59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预计2026 年下半年：Spectrum-X Photonics 上市、Vera Rubin NVL144 推出；</w:t>
      </w:r>
    </w:p>
    <w:p w14:paraId="5BE69A23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预计2027 年：英伟达 + 博通推出单通道 200G CPO 交换机，产业生态趋于成熟；</w:t>
      </w:r>
    </w:p>
    <w:p w14:paraId="15AC13E2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预计2028 年：NVLink CPO 正式落地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467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47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NV CPO发展关键时间节点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2025年 ───► 2026年 ───► 2027年 ───► 2028年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│           │           │        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▼           ▼           ▼           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Quantum-X  Spectrum-X  单通道200G   NVLink CPO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(IB CPO)   (以太网CPO)   CPO交换机   (Scale-up)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(计划)      (计划)      (产业成熟)   (技术验证完成)</w:t>
            </w:r>
          </w:p>
        </w:tc>
      </w:tr>
    </w:tbl>
    <w:p w14:paraId="37962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技术迭代逻辑</w:t>
      </w:r>
    </w:p>
    <w:p w14:paraId="3CC51A29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前期探索：2022 年 GTC 已公布光纤 NVLink 计划，内部自建试验集群，但重定时光模块功耗过高未规模化推广</w:t>
      </w:r>
    </w:p>
    <w:p w14:paraId="53B44F3A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当前突破：通过去除 DSP、采用 MRM 调制器降低功耗，解决核心痛点；</w:t>
      </w:r>
    </w:p>
    <w:p w14:paraId="0CA438E4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未来方向：以 Scale-out 网络验证 2 代产品周期（2025-2028），降低后续 GPU 集成 CPO 的技术风险，</w:t>
      </w:r>
      <w:r>
        <w:rPr>
          <w:rFonts w:ascii="Arial" w:hAnsi="Arial" w:eastAsia="等线" w:cs="Arial"/>
          <w:b/>
          <w:sz w:val="22"/>
        </w:rPr>
        <w:t>GPU 集成 CPO 成为不可逆转的演进趋势</w:t>
      </w:r>
    </w:p>
    <w:p w14:paraId="275D4045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color w:val="3370FF"/>
          <w:sz w:val="28"/>
        </w:rPr>
        <w:t xml:space="preserve">3.6 </w:t>
      </w:r>
      <w:r>
        <w:rPr>
          <w:rFonts w:ascii="Arial" w:hAnsi="Arial" w:eastAsia="等线" w:cs="Arial"/>
          <w:b/>
          <w:sz w:val="28"/>
        </w:rPr>
        <w:t>NV GPU 互联的协同演进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975"/>
        <w:gridCol w:w="1980"/>
        <w:gridCol w:w="1365"/>
        <w:gridCol w:w="1980"/>
      </w:tblGrid>
      <w:tr w14:paraId="3AEF7C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40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 / 机架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0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GPU 数量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31D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互连方案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A4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推出计划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3F9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关键意义</w:t>
            </w:r>
          </w:p>
        </w:tc>
      </w:tr>
      <w:tr w14:paraId="25EAEB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49B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NVL72（Blackwell 架构）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09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72 个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E0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NVLink + 无源铜缆背板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BA9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已落地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52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构建纵向扩展域基础</w:t>
            </w:r>
          </w:p>
        </w:tc>
      </w:tr>
      <w:tr w14:paraId="123111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10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Vera Rubin NVL144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79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144 个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91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延续 NVLink + 无源铜缆（用量可翻倍）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9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 年下半年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E6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单个机柜容纳，</w:t>
            </w:r>
          </w:p>
          <w:p w14:paraId="527FA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最大距离约为2米（无源铜缆可满足）</w:t>
            </w:r>
          </w:p>
        </w:tc>
      </w:tr>
      <w:tr w14:paraId="4198A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9B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Rubin Ultra NVL576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C3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576 个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F2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未披露（Kyber 机架布局对 NVLink 提出新要求）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D4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未明确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95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迈向大规模集群互联</w:t>
            </w:r>
          </w:p>
        </w:tc>
      </w:tr>
      <w:tr w14:paraId="3CF8E9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A8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Feynman 平台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D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多机柜级联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32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光互连方案</w:t>
            </w:r>
            <w:r>
              <w:fldChar w:fldCharType="begin"/>
            </w:r>
            <w:r>
              <w:instrText xml:space="preserve"> HYPERLINK "https://finance.sina.com.cn/tech/roll/2025-03-24/doc-ineqtncr3851021.shtml"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  <w:shd w:val="clear" w:fill="FFF67A"/>
              </w:rPr>
              <w:t>（LightCounting 预测）</w:t>
            </w:r>
            <w:r>
              <w:rPr>
                <w:rFonts w:ascii="Arial" w:hAnsi="Arial" w:eastAsia="等线" w:cs="Arial"/>
                <w:color w:val="3370FF"/>
                <w:sz w:val="22"/>
                <w:shd w:val="clear" w:fill="FFF67A"/>
              </w:rPr>
              <w:fldChar w:fldCharType="end"/>
            </w:r>
          </w:p>
          <w:p w14:paraId="030F3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LightCounting预计：Feynman将支持多机柜级联，必然需要光互连方案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EA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未明确；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E0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突破铜缆距离限制，CPO 成为关键支撑</w:t>
            </w:r>
          </w:p>
        </w:tc>
      </w:tr>
    </w:tbl>
    <w:p w14:paraId="2F183AE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color w:val="3370FF"/>
          <w:sz w:val="30"/>
        </w:rPr>
        <w:t xml:space="preserve">4. </w:t>
      </w:r>
      <w:r>
        <w:rPr>
          <w:rFonts w:ascii="Arial" w:hAnsi="Arial" w:eastAsia="等线" w:cs="Arial"/>
          <w:b/>
          <w:sz w:val="30"/>
        </w:rPr>
        <w:t>Broadcom CPO</w:t>
      </w:r>
      <w:bookmarkEnd w:id="24"/>
    </w:p>
    <w:p w14:paraId="29254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博通的 CPO 核心思路是</w:t>
      </w:r>
      <w:r>
        <w:rPr>
          <w:rFonts w:ascii="Arial" w:hAnsi="Arial" w:eastAsia="等线" w:cs="Arial"/>
          <w:b/>
          <w:sz w:val="22"/>
        </w:rPr>
        <w:t>聚焦开放以太网标准</w:t>
      </w:r>
      <w:r>
        <w:rPr>
          <w:rFonts w:ascii="Arial" w:hAnsi="Arial" w:eastAsia="等线" w:cs="Arial"/>
          <w:sz w:val="22"/>
        </w:rPr>
        <w:t>，设计 “交换芯片 + 光引擎模块化”</w:t>
      </w:r>
      <w:r>
        <w:rPr>
          <w:rFonts w:ascii="Arial" w:hAnsi="Arial" w:eastAsia="等线" w:cs="Arial"/>
          <w:b/>
          <w:sz w:val="22"/>
        </w:rPr>
        <w:t>，通过</w:t>
      </w:r>
      <w:r>
        <w:rPr>
          <w:rFonts w:ascii="Arial" w:hAnsi="Arial" w:eastAsia="等线" w:cs="Arial"/>
          <w:sz w:val="22"/>
        </w:rPr>
        <w:t>三代产品迭代</w:t>
      </w:r>
      <w:r>
        <w:rPr>
          <w:rFonts w:ascii="Arial" w:hAnsi="Arial" w:eastAsia="等线" w:cs="Arial"/>
          <w:b/>
          <w:sz w:val="22"/>
        </w:rPr>
        <w:t>快速实现规模量产，同时向</w:t>
      </w:r>
      <w:r>
        <w:rPr>
          <w:rFonts w:ascii="Arial" w:hAnsi="Arial" w:eastAsia="等线" w:cs="Arial"/>
          <w:sz w:val="22"/>
        </w:rPr>
        <w:t>XPU 侧渗透 ，最终以</w:t>
      </w:r>
      <w:r>
        <w:rPr>
          <w:rFonts w:ascii="Arial" w:hAnsi="Arial" w:eastAsia="等线" w:cs="Arial"/>
          <w:b/>
          <w:sz w:val="22"/>
        </w:rPr>
        <w:t>标准化、高性价比、高可靠性</w:t>
      </w:r>
      <w:r>
        <w:rPr>
          <w:rFonts w:ascii="Arial" w:hAnsi="Arial" w:eastAsia="等线" w:cs="Arial"/>
          <w:sz w:val="22"/>
        </w:rPr>
        <w:t>占领通用数据中心与 AI 集群的主流市场</w:t>
      </w:r>
    </w:p>
    <w:p w14:paraId="78E8203A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color w:val="3370FF"/>
          <w:sz w:val="28"/>
        </w:rPr>
        <w:t xml:space="preserve">4.1 </w:t>
      </w:r>
      <w:r>
        <w:rPr>
          <w:rFonts w:ascii="Arial" w:hAnsi="Arial" w:eastAsia="等线" w:cs="Arial"/>
          <w:b/>
          <w:sz w:val="28"/>
        </w:rPr>
        <w:t>CPO 产品发展思路</w:t>
      </w:r>
      <w:bookmarkEnd w:id="25"/>
    </w:p>
    <w:p w14:paraId="52D436B8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定位：设计</w:t>
      </w:r>
      <w:r>
        <w:rPr>
          <w:rFonts w:ascii="Arial" w:hAnsi="Arial" w:eastAsia="等线" w:cs="Arial"/>
          <w:b/>
          <w:sz w:val="22"/>
          <w:shd w:val="clear" w:fill="FFF67A"/>
        </w:rPr>
        <w:t>通用算力</w:t>
      </w:r>
      <w:r>
        <w:rPr>
          <w:rFonts w:ascii="Arial" w:hAnsi="Arial" w:eastAsia="等线" w:cs="Arial"/>
          <w:b/>
          <w:sz w:val="22"/>
        </w:rPr>
        <w:t>的 “互联中枢”</w:t>
      </w:r>
    </w:p>
    <w:p w14:paraId="02B5ABDD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只提供</w:t>
      </w:r>
      <w:r>
        <w:rPr>
          <w:rFonts w:ascii="Arial" w:hAnsi="Arial" w:eastAsia="等线" w:cs="Arial"/>
          <w:b/>
          <w:sz w:val="22"/>
        </w:rPr>
        <w:t>CPO 交换芯片 + 光引擎参考设计</w:t>
      </w:r>
      <w:r>
        <w:rPr>
          <w:rFonts w:ascii="Arial" w:hAnsi="Arial" w:eastAsia="等线" w:cs="Arial"/>
          <w:sz w:val="22"/>
        </w:rPr>
        <w:t>（不做整机），让设备商 / 云厂商自主集成，保持 “芯片供应商” 的核心角色</w:t>
      </w:r>
    </w:p>
    <w:p w14:paraId="206FF5BD">
      <w:pPr>
        <w:numPr>
          <w:ilvl w:val="0"/>
          <w:numId w:val="1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聚焦</w:t>
      </w:r>
      <w:r>
        <w:rPr>
          <w:rFonts w:ascii="Arial" w:hAnsi="Arial" w:eastAsia="等线" w:cs="Arial"/>
          <w:b/>
          <w:sz w:val="22"/>
        </w:rPr>
        <w:t>以太网标准 CPO</w:t>
      </w:r>
      <w:r>
        <w:rPr>
          <w:rFonts w:ascii="Arial" w:hAnsi="Arial" w:eastAsia="等线" w:cs="Arial"/>
          <w:sz w:val="22"/>
        </w:rPr>
        <w:t>，兼容 OCP/IEEE 802.3，确保与现有数据中心网络无缝衔接，降低客户迁移成本</w:t>
      </w:r>
    </w:p>
    <w:p w14:paraId="4CF14AAD">
      <w:pPr>
        <w:numPr>
          <w:ilvl w:val="0"/>
          <w:numId w:val="1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目标：覆盖 Scale-Out（横向扩展）</w:t>
      </w:r>
      <w:r>
        <w:rPr>
          <w:rFonts w:ascii="Arial" w:hAnsi="Arial" w:eastAsia="等线" w:cs="Arial"/>
          <w:b/>
          <w:sz w:val="22"/>
        </w:rPr>
        <w:t>与</w:t>
      </w:r>
      <w:r>
        <w:rPr>
          <w:rFonts w:ascii="Arial" w:hAnsi="Arial" w:eastAsia="等线" w:cs="Arial"/>
          <w:sz w:val="22"/>
        </w:rPr>
        <w:t>Scale-Up（纵向扩展） 全场景，支撑从云厂商通用网络到十万卡级 AI 集群的需求</w:t>
      </w:r>
    </w:p>
    <w:p w14:paraId="4DCB4FF5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核心抓手：标准化 + 规模化 + 能效比</w:t>
      </w:r>
    </w:p>
    <w:p w14:paraId="032B145C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标准化/通用</w:t>
      </w:r>
      <w:r>
        <w:rPr>
          <w:rFonts w:ascii="Arial" w:hAnsi="Arial" w:eastAsia="等线" w:cs="Arial"/>
          <w:sz w:val="22"/>
        </w:rPr>
        <w:t>：推动 200G/lane 成为行业基准，确保多厂商互通，打破生态壁垒</w:t>
      </w:r>
    </w:p>
    <w:p w14:paraId="683A9B65">
      <w:pPr>
        <w:numPr>
          <w:ilvl w:val="0"/>
          <w:numId w:val="1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规模化</w:t>
      </w:r>
      <w:r>
        <w:rPr>
          <w:rFonts w:ascii="Arial" w:hAnsi="Arial" w:eastAsia="等线" w:cs="Arial"/>
          <w:sz w:val="22"/>
        </w:rPr>
        <w:t>：通过</w:t>
      </w:r>
      <w:r>
        <w:rPr>
          <w:rFonts w:ascii="Arial" w:hAnsi="Arial" w:eastAsia="等线" w:cs="Arial"/>
          <w:b/>
          <w:sz w:val="22"/>
        </w:rPr>
        <w:t>模块化光引擎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自动化制造</w:t>
      </w:r>
      <w:r>
        <w:rPr>
          <w:rFonts w:ascii="Arial" w:hAnsi="Arial" w:eastAsia="等线" w:cs="Arial"/>
          <w:sz w:val="22"/>
        </w:rPr>
        <w:t>降低成本，实现月量产能力，让 CPO 从 “高端技术” 走向 “通用标配”</w:t>
      </w:r>
    </w:p>
    <w:p w14:paraId="7A3A4640">
      <w:pPr>
        <w:numPr>
          <w:ilvl w:val="0"/>
          <w:numId w:val="1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能效比</w:t>
      </w:r>
      <w:r>
        <w:rPr>
          <w:rFonts w:ascii="Arial" w:hAnsi="Arial" w:eastAsia="等线" w:cs="Arial"/>
          <w:sz w:val="22"/>
        </w:rPr>
        <w:t>：以 “功耗降低 30%+、延迟减少～100ns、抖动降低 40%” 为核心指标，解决 AI 集群的 TCO 痛点</w:t>
      </w:r>
    </w:p>
    <w:p w14:paraId="505F9A06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生态逻辑：开放协作，分工明确</w:t>
      </w:r>
    </w:p>
    <w:p w14:paraId="69AE2C8E">
      <w:pPr>
        <w:numPr>
          <w:ilvl w:val="0"/>
          <w:numId w:val="1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上游</w:t>
      </w:r>
      <w:r>
        <w:rPr>
          <w:rFonts w:ascii="Arial" w:hAnsi="Arial" w:eastAsia="等线" w:cs="Arial"/>
          <w:sz w:val="22"/>
        </w:rPr>
        <w:t>：与台积电深度绑定 COUPE 封装，联合天孚通信、Corning、SPIL 等提供标准化光引擎 / 封装服务</w:t>
      </w:r>
    </w:p>
    <w:p w14:paraId="550B5448">
      <w:pPr>
        <w:numPr>
          <w:ilvl w:val="0"/>
          <w:numId w:val="1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下游</w:t>
      </w:r>
      <w:r>
        <w:rPr>
          <w:rFonts w:ascii="Arial" w:hAnsi="Arial" w:eastAsia="等线" w:cs="Arial"/>
          <w:sz w:val="22"/>
        </w:rPr>
        <w:t>：向 Juniper、H3C、锐捷、Micas 及云厂商（Meta、字节、AWS）开放芯片，支持白牌 / 自研整机开发</w:t>
      </w:r>
    </w:p>
    <w:p w14:paraId="0FCCA785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差异化</w:t>
      </w:r>
      <w:r>
        <w:rPr>
          <w:rFonts w:ascii="Arial" w:hAnsi="Arial" w:eastAsia="等线" w:cs="Arial"/>
          <w:sz w:val="22"/>
        </w:rPr>
        <w:t>：与英伟达的 “封闭全栈” 形成互补，抓住 “不愿绑定私有生态” 的主流市场</w:t>
      </w:r>
    </w:p>
    <w:p w14:paraId="41CD86AE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color w:val="3370FF"/>
          <w:sz w:val="28"/>
        </w:rPr>
        <w:t xml:space="preserve">4.2 </w:t>
      </w:r>
      <w:r>
        <w:rPr>
          <w:rFonts w:ascii="Arial" w:hAnsi="Arial" w:eastAsia="等线" w:cs="Arial"/>
          <w:b/>
          <w:sz w:val="28"/>
        </w:rPr>
        <w:t>技术路线（核心架构与演进）</w:t>
      </w:r>
      <w:bookmarkEnd w:id="26"/>
    </w:p>
    <w:p w14:paraId="61DBD74A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技术底座：硅光集成 + 先进封装 + Chiplet</w:t>
      </w:r>
    </w:p>
    <w:p w14:paraId="79F21CDD">
      <w:pPr>
        <w:spacing w:before="120" w:after="120" w:line="288" w:lineRule="auto"/>
        <w:ind w:left="0"/>
      </w:pPr>
      <w:r>
        <w:object>
          <v:shape id="_x0000_i1029" o:spt="75" type="#_x0000_t75" style="height:153pt;width:41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26">
            <o:LockedField>false</o:LockedField>
          </o:OLEObject>
        </w:object>
      </w:r>
    </w:p>
    <w:p w14:paraId="25A14A06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1BA5182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产品路线：从 “验证” 到 “规模” 再到 “引领”</w:t>
      </w:r>
    </w:p>
    <w:p w14:paraId="07412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</w:t>
      </w:r>
      <w:r>
        <w:rPr>
          <w:rFonts w:ascii="Arial" w:hAnsi="Arial" w:eastAsia="等线" w:cs="Arial"/>
          <w:b/>
          <w:sz w:val="22"/>
        </w:rPr>
        <w:t>每代带宽翻倍、功耗持续下降</w:t>
      </w:r>
      <w:r>
        <w:rPr>
          <w:rFonts w:ascii="Arial" w:hAnsi="Arial" w:eastAsia="等线" w:cs="Arial"/>
          <w:sz w:val="22"/>
        </w:rPr>
        <w:t>为节奏，分四阶段推进：</w:t>
      </w:r>
    </w:p>
    <w:p w14:paraId="2BF4E0C8">
      <w:pPr>
        <w:spacing w:before="120" w:after="120" w:line="288" w:lineRule="auto"/>
        <w:ind w:left="0"/>
      </w:pPr>
      <w:r>
        <w:object>
          <v:shape id="_x0000_i1030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28">
            <o:LockedField>false</o:LockedField>
          </o:OLEObject>
        </w:object>
      </w:r>
    </w:p>
    <w:p w14:paraId="630DB70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6BB2970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场景延伸：从 “交换机” 到 “XPU 共封装” </w:t>
      </w:r>
    </w:p>
    <w:p w14:paraId="70B04DEF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2025 年演示</w:t>
      </w:r>
      <w:r>
        <w:rPr>
          <w:rFonts w:ascii="Arial" w:hAnsi="Arial" w:eastAsia="等线" w:cs="Arial"/>
          <w:b/>
          <w:sz w:val="22"/>
        </w:rPr>
        <w:t>XPU-CPO 集成</w:t>
      </w:r>
      <w:r>
        <w:rPr>
          <w:rFonts w:ascii="Arial" w:hAnsi="Arial" w:eastAsia="等线" w:cs="Arial"/>
          <w:sz w:val="22"/>
        </w:rPr>
        <w:t>，将光引擎直接贴在处理器旁，打通 “计算 - 互联” 最后一公里</w:t>
      </w:r>
    </w:p>
    <w:p w14:paraId="56FB9C87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</w:t>
      </w:r>
      <w:r>
        <w:rPr>
          <w:rFonts w:ascii="Arial" w:hAnsi="Arial" w:eastAsia="等线" w:cs="Arial"/>
          <w:b/>
          <w:sz w:val="22"/>
        </w:rPr>
        <w:t>512 个 200Gbps 端口</w:t>
      </w:r>
      <w:r>
        <w:rPr>
          <w:rFonts w:ascii="Arial" w:hAnsi="Arial" w:eastAsia="等线" w:cs="Arial"/>
          <w:sz w:val="22"/>
        </w:rPr>
        <w:t>直接连接 512 个 XPU，适配推理与中小型训练场景，</w:t>
      </w:r>
      <w:r>
        <w:rPr>
          <w:rFonts w:ascii="Arial" w:hAnsi="Arial" w:eastAsia="等线" w:cs="Arial"/>
          <w:sz w:val="22"/>
          <w:u w:val="single"/>
        </w:rPr>
        <w:t>两层网络可连接 131072 个 XPU</w:t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t xml:space="preserve">（Supports </w:t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t>Scale-Up cluster size of 512 XPUs</w:t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t xml:space="preserve"> and up to 100,000+ XPUs in </w:t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t xml:space="preserve">two-tier </w:t>
      </w:r>
      <w:r>
        <w:rPr>
          <w:rFonts w:ascii="Arial" w:hAnsi="Arial" w:eastAsia="等线" w:cs="Arial"/>
          <w:b/>
          <w:color w:val="3370FF"/>
          <w:sz w:val="22"/>
          <w:u w:val="single"/>
          <w:shd w:val="clear" w:fill="FFF67A"/>
        </w:rPr>
        <w:fldChar w:fldCharType="end"/>
      </w:r>
      <w:r>
        <w:fldChar w:fldCharType="begin"/>
      </w:r>
      <w:r>
        <w:instrText xml:space="preserve"> HYPERLINK "https://www.broadcom.com/company/news/product-releases/63626"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t>networks at 200 Gbps per link）</w:t>
      </w:r>
      <w:r>
        <w:rPr>
          <w:rFonts w:ascii="Arial" w:hAnsi="Arial" w:eastAsia="等线" w:cs="Arial"/>
          <w:color w:val="3370FF"/>
          <w:sz w:val="22"/>
          <w:u w:val="single"/>
          <w:shd w:val="clear" w:fill="FFF67A"/>
        </w:rPr>
        <w:fldChar w:fldCharType="end"/>
      </w:r>
    </w:p>
    <w:p w14:paraId="639E922C">
      <w:pPr>
        <w:numPr>
          <w:ilvl w:val="0"/>
          <w:numId w:val="1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 xml:space="preserve">1 台交换机（TH6 / BCM78919）有 102.4T 带宽 = 16 × 6.4T 光口, </w:t>
      </w:r>
    </w:p>
    <w:p w14:paraId="2B257716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无阻塞 Clos 要求：</w:t>
      </w:r>
      <w:r>
        <w:rPr>
          <w:rFonts w:ascii="Arial" w:hAnsi="Arial" w:eastAsia="等线" w:cs="Arial"/>
          <w:sz w:val="22"/>
        </w:rPr>
        <w:t>要做到无阻塞，Leaf 必须把所有上联口都连上 Spine，每口连一台不同的 Spine，才能无阻塞；</w:t>
      </w:r>
      <w:r>
        <w:rPr>
          <w:rFonts w:ascii="Arial" w:hAnsi="Arial" w:eastAsia="等线" w:cs="Arial"/>
          <w:b/>
          <w:sz w:val="22"/>
        </w:rPr>
        <w:t>所以Spine 数量 = 每台 Leaf 的上联口数</w:t>
      </w:r>
    </w:p>
    <w:p w14:paraId="1586D71A">
      <w:pPr>
        <w:numPr>
          <w:ilvl w:val="0"/>
          <w:numId w:val="1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为了让 </w:t>
      </w:r>
      <w:r>
        <w:rPr>
          <w:rFonts w:ascii="Arial" w:hAnsi="Arial" w:eastAsia="等线" w:cs="Arial"/>
          <w:b/>
          <w:sz w:val="22"/>
        </w:rPr>
        <w:t>Leaf交换机能跑满无阻塞</w:t>
      </w:r>
      <w:r>
        <w:rPr>
          <w:rFonts w:ascii="Arial" w:hAnsi="Arial" w:eastAsia="等线" w:cs="Arial"/>
          <w:sz w:val="22"/>
        </w:rPr>
        <w:t xml:space="preserve">，Leaf 上联带宽 </w:t>
      </w:r>
      <w:r>
        <w:rPr>
          <w:rFonts w:ascii="Arial" w:hAnsi="Arial" w:eastAsia="等线" w:cs="Arial"/>
          <w:b/>
          <w:sz w:val="22"/>
        </w:rPr>
        <w:t>必须 ≥ 下联带宽</w:t>
      </w:r>
    </w:p>
    <w:p w14:paraId="727E7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2 Tier架构下实现万卡集群部署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313181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5D72F">
            <w:pPr>
              <w:numPr>
                <w:ilvl w:val="0"/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Tomahawk6（BCM78919）官方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总带宽：102.4T，200G 端口情况下会有512个端口</w:t>
            </w:r>
          </w:p>
          <w:p w14:paraId="3B4D3951">
            <w:pPr>
              <w:numPr>
                <w:ilvl w:val="0"/>
                <w:numId w:val="15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一台 TH6 当 Leaf：总端口：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512 × 200G</w:t>
            </w:r>
          </w:p>
          <w:p w14:paraId="60FBF476">
            <w:pPr>
              <w:numPr>
                <w:ilvl w:val="0"/>
                <w:numId w:val="156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一半下联 XPU，一半上联 Spine</w:t>
            </w:r>
          </w:p>
          <w:p w14:paraId="6335A714">
            <w:pPr>
              <w:numPr>
                <w:ilvl w:val="0"/>
                <w:numId w:val="157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下联：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256 × 200G → 接 256 块 XPU</w:t>
            </w:r>
          </w:p>
          <w:p w14:paraId="3DFF6301">
            <w:pPr>
              <w:numPr>
                <w:ilvl w:val="0"/>
                <w:numId w:val="158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上联：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256 × 200G → 连 256 台 Spine</w:t>
            </w:r>
          </w:p>
          <w:p w14:paraId="137E9CFA">
            <w:pPr>
              <w:numPr>
                <w:ilvl w:val="0"/>
                <w:numId w:val="159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为了无阻塞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Spine 数量 = 每台 Leaf 的上联口数</w:t>
            </w:r>
          </w:p>
          <w:p w14:paraId="40B8B5B1">
            <w:pPr>
              <w:numPr>
                <w:ilvl w:val="0"/>
                <w:numId w:val="160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所以spine数量也是256</w:t>
            </w:r>
          </w:p>
          <w:p w14:paraId="769D367A">
            <w:pPr>
              <w:numPr>
                <w:ilvl w:val="0"/>
                <w:numId w:val="161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按照 xpu-leaf-spine-leaf-xpu的连接方式</w:t>
            </w:r>
          </w:p>
          <w:p w14:paraId="694C8970">
            <w:pPr>
              <w:numPr>
                <w:ilvl w:val="0"/>
                <w:numId w:val="162"/>
              </w:numPr>
              <w:spacing w:before="120" w:after="120" w:line="288" w:lineRule="auto"/>
              <w:ind w:left="907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由于官方并未提到每链路200 Gbps，未明确是全部链路，还是仅为和xpu互联；因此对于CPO互联速率分为200g，800g，1.6T进行展开</w:t>
            </w:r>
          </w:p>
        </w:tc>
      </w:tr>
    </w:tbl>
    <w:p w14:paraId="541CB480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0598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57D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2-Tier架构 1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在200g下联口链接XPU的速度下实现万卡集群互联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Supports Scale-Up cluster size of 512 XPUs and up to 100,000+ XPUs in two-tier networks at 200 Gbps per link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  <w:shd w:val="clear" w:fill="FFF67A"/>
              </w:rPr>
              <w:t>情况1</w:t>
            </w:r>
            <w:r>
              <w:rPr>
                <w:rFonts w:ascii="Consolas" w:hAnsi="Consolas" w:eastAsia="Consolas" w:cs="Consolas"/>
                <w:sz w:val="22"/>
              </w:rPr>
              <w:t>：200g下联口链接XPU；leaf-spine之间也是</w:t>
            </w:r>
            <w:r>
              <w:rPr>
                <w:rFonts w:ascii="Consolas" w:hAnsi="Consolas" w:eastAsia="Consolas" w:cs="Consolas"/>
                <w:b/>
                <w:sz w:val="22"/>
              </w:rPr>
              <w:t>200g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单个POD xpu数量为256*256*2=131072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256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（256个上联口）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共256台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（256个上联口）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256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</w:p>
        </w:tc>
      </w:tr>
    </w:tbl>
    <w:p w14:paraId="1002057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6BB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484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2-Tier架构 2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  <w:shd w:val="clear" w:fill="FFF67A"/>
              </w:rPr>
              <w:t>情况2</w:t>
            </w:r>
            <w:r>
              <w:rPr>
                <w:rFonts w:ascii="Consolas" w:hAnsi="Consolas" w:eastAsia="Consolas" w:cs="Consolas"/>
                <w:sz w:val="22"/>
              </w:rPr>
              <w:t>：200g下联口链接XPU；leaf-spine之间是</w:t>
            </w:r>
            <w:r>
              <w:rPr>
                <w:rFonts w:ascii="Consolas" w:hAnsi="Consolas" w:eastAsia="Consolas" w:cs="Consolas"/>
                <w:b/>
                <w:sz w:val="22"/>
              </w:rPr>
              <w:t>800g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单个POD xpu数量为256*64*2，需要4个POD，可满足131072个xpu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64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（64个上联口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共64台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（64个上联口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64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</w:p>
        </w:tc>
      </w:tr>
    </w:tbl>
    <w:p w14:paraId="419190A6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7238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40A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2-Tier架构 3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  <w:shd w:val="clear" w:fill="FFF67A"/>
              </w:rPr>
              <w:t>情况2</w:t>
            </w:r>
            <w:r>
              <w:rPr>
                <w:rFonts w:ascii="Consolas" w:hAnsi="Consolas" w:eastAsia="Consolas" w:cs="Consolas"/>
                <w:sz w:val="22"/>
              </w:rPr>
              <w:t>：200g下联口链接XPU；leaf-spine之间是1.6T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单个POD xpu数量为256*32*2，需要8个POD，可满足131072个xpu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32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32*1.6T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共32台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32*1.6T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 32 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（256个下联口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256*200G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共256个</w:t>
            </w:r>
          </w:p>
        </w:tc>
      </w:tr>
    </w:tbl>
    <w:p w14:paraId="77A8A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D83931"/>
          <w:sz w:val="22"/>
          <w:shd w:val="clear" w:fill="FFF67A"/>
        </w:rPr>
        <w:t>3 Tier架构下实现万卡集群部署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88CD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1B371">
            <w:pPr>
              <w:numPr>
                <w:ilvl w:val="0"/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Tomahawk6（BCM78919）官方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总带宽：102.4T，1.6T 情况下会有64 个端口</w:t>
            </w:r>
          </w:p>
          <w:p w14:paraId="1F18633E">
            <w:pPr>
              <w:numPr>
                <w:ilvl w:val="0"/>
                <w:numId w:val="16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在2048leaf+2048spine+1024super-spine的情况下</w:t>
            </w:r>
          </w:p>
          <w:p w14:paraId="7BA88227">
            <w:pPr>
              <w:numPr>
                <w:ilvl w:val="0"/>
                <w:numId w:val="16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有2048*64=131072个xpu</w:t>
            </w:r>
          </w:p>
        </w:tc>
      </w:tr>
    </w:tbl>
    <w:p w14:paraId="7B491173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4543"/>
      </w:tblGrid>
      <w:tr w14:paraId="5C55B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ED86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219325" cy="2781300"/>
                  <wp:effectExtent l="0" t="0" r="15875" b="1270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05352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724150" cy="1590675"/>
                  <wp:effectExtent l="0" t="0" r="19050" b="9525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2DE14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724150" cy="1295400"/>
                  <wp:effectExtent l="0" t="0" r="19050" b="0"/>
                  <wp:docPr id="19" name="Drawing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Drawing 1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D11F2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98C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4731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3-Tier架构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1个POD→4096 GPU；为达成万卡集群，用32个POD→32×4096=131,072 GPU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一个POD之所以是64个leaf，64个spine，32个Super-Spine是因为</w:t>
            </w:r>
            <w:r>
              <w:rPr>
                <w:rFonts w:ascii="Consolas" w:hAnsi="Consolas" w:eastAsia="Consolas" w:cs="Consolas"/>
                <w:b/>
                <w:sz w:val="22"/>
              </w:rPr>
              <w:t>无阻塞需要</w:t>
            </w:r>
            <w:r>
              <w:rPr>
                <w:rFonts w:ascii="Consolas" w:hAnsi="Consolas" w:eastAsia="Consolas" w:cs="Consolas"/>
                <w:sz w:val="22"/>
              </w:rPr>
              <w:t>：Spine 数量 = 每台 Leaf 的上行端口数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32个POD是因为网络规模必须是 </w:t>
            </w:r>
            <w:r>
              <w:rPr>
                <w:rFonts w:ascii="Consolas" w:hAnsi="Consolas" w:eastAsia="Consolas" w:cs="Consolas"/>
                <w:b/>
                <w:sz w:val="22"/>
              </w:rPr>
              <w:t>2 的整数次幂，32是能支撑超大规模（13 万 GPU）AI 集群的最合理选择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无阻塞要求</w:t>
            </w:r>
            <w:r>
              <w:rPr>
                <w:rFonts w:ascii="Consolas" w:hAnsi="Consolas" w:eastAsia="Consolas" w:cs="Consolas"/>
                <w:sz w:val="22"/>
              </w:rPr>
              <w:t>：32 是保证 Spine 层和 Super-Spine 层带宽完全匹配的最小整数，确保了跨 POD 通信时不会出现带宽瓶颈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共32*64=2048个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（64个下联口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1.6T*32）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↓  ↓  ↓  ↓  ↓  ↓  ↓  ↓  ↓  ↓  ↓  ↓  ↓  ↓  ↓  ↓ （32个联口 </w:t>
            </w:r>
            <w:r>
              <w:rPr>
                <w:rFonts w:ascii="Consolas" w:hAnsi="Consolas" w:eastAsia="Consolas" w:cs="Consolas"/>
                <w:b/>
                <w:sz w:val="22"/>
              </w:rPr>
              <w:t>1.6T*32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│            Super-Spine 交换机 (TH6 BCM78919)  │  共32台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↓  ↓  ↓  ↓  ↓  ↓  ↓  ↓  ↓  ↓  ↓  ↓  ↓  ↓  ↓  ↓ （32联口 </w:t>
            </w:r>
            <w:r>
              <w:rPr>
                <w:rFonts w:ascii="Consolas" w:hAnsi="Consolas" w:eastAsia="Consolas" w:cs="Consolas"/>
                <w:b/>
                <w:sz w:val="22"/>
              </w:rPr>
              <w:t>1.6T*32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┌───────────────────────────────────────────────┐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│            Spine 交换机 (TH6 BCM78919)        │  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└───────────────────────────────────────────────┘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 ↓  ↓  ↓  ↓  ↓  ↓  ↓  ↓  ↓  ↓  ↓  ↓  ↓  ↓  ↓ （32个上联口 </w:t>
            </w:r>
            <w:r>
              <w:rPr>
                <w:rFonts w:ascii="Consolas" w:hAnsi="Consolas" w:eastAsia="Consolas" w:cs="Consolas"/>
                <w:b/>
                <w:sz w:val="22"/>
              </w:rPr>
              <w:t>1.6T*32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┌───────────────────────────────────┐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Leaf 交换机 (TH6 BCM78919)   │  共32台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└───────────────────────────────────┘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     ↓  （64个下联口 </w:t>
            </w:r>
            <w:r>
              <w:rPr>
                <w:rFonts w:ascii="Consolas" w:hAnsi="Consolas" w:eastAsia="Consolas" w:cs="Consolas"/>
                <w:b/>
                <w:sz w:val="22"/>
              </w:rPr>
              <w:t>64*800G</w:t>
            </w:r>
            <w:r>
              <w:rPr>
                <w:rFonts w:ascii="Consolas" w:hAnsi="Consolas" w:eastAsia="Consolas" w:cs="Consolas"/>
                <w:sz w:val="22"/>
              </w:rPr>
              <w:t>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[XPU]  [XPU]  ... 共2048个</w:t>
            </w:r>
          </w:p>
        </w:tc>
      </w:tr>
    </w:tbl>
    <w:p w14:paraId="46C8D2F2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Two-tier networks指的是（Leaf + Spine），Three-tier networks指的是（Leaf + Spine + Super Spine）</w:t>
      </w:r>
    </w:p>
    <w:p w14:paraId="0A2EE14F">
      <w:pPr>
        <w:numPr>
          <w:ilvl w:val="0"/>
          <w:numId w:val="1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Leaf 交换机 = “接入层”，直接插 </w:t>
      </w:r>
      <w:r>
        <w:rPr>
          <w:rFonts w:ascii="Arial" w:hAnsi="Arial" w:eastAsia="等线" w:cs="Arial"/>
          <w:b/>
          <w:sz w:val="22"/>
        </w:rPr>
        <w:t>服务器、XPU、GPU、存储，</w:t>
      </w:r>
      <w:r>
        <w:rPr>
          <w:rFonts w:ascii="Arial" w:hAnsi="Arial" w:eastAsia="等线" w:cs="Arial"/>
          <w:sz w:val="22"/>
        </w:rPr>
        <w:t>离算力最近</w:t>
      </w:r>
    </w:p>
    <w:p w14:paraId="325174D8">
      <w:pPr>
        <w:numPr>
          <w:ilvl w:val="0"/>
          <w:numId w:val="1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Spine 交换机 = “骨干 / 核心层”：不接服务器，只接 Leaf 交换机，负责让</w:t>
      </w:r>
      <w:r>
        <w:rPr>
          <w:rFonts w:ascii="Arial" w:hAnsi="Arial" w:eastAsia="等线" w:cs="Arial"/>
          <w:b/>
          <w:sz w:val="22"/>
        </w:rPr>
        <w:t>所有 Leaf 之间互通</w:t>
      </w:r>
    </w:p>
    <w:p w14:paraId="52AE0052">
      <w:pPr>
        <w:numPr>
          <w:ilvl w:val="0"/>
          <w:numId w:val="1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Full Mesh 全互联：</w:t>
      </w:r>
      <w:r>
        <w:rPr>
          <w:rFonts w:ascii="Arial" w:hAnsi="Arial" w:eastAsia="等线" w:cs="Arial"/>
          <w:sz w:val="22"/>
        </w:rPr>
        <w:t xml:space="preserve">每一台 Leaf → 连 </w:t>
      </w:r>
      <w:r>
        <w:rPr>
          <w:rFonts w:ascii="Arial" w:hAnsi="Arial" w:eastAsia="等线" w:cs="Arial"/>
          <w:b/>
          <w:sz w:val="22"/>
        </w:rPr>
        <w:t>所有 Spine，同时</w:t>
      </w:r>
      <w:r>
        <w:rPr>
          <w:rFonts w:ascii="Arial" w:hAnsi="Arial" w:eastAsia="等线" w:cs="Arial"/>
          <w:sz w:val="22"/>
        </w:rPr>
        <w:t xml:space="preserve">每一台 Spine → 连 </w:t>
      </w:r>
      <w:r>
        <w:rPr>
          <w:rFonts w:ascii="Arial" w:hAnsi="Arial" w:eastAsia="等线" w:cs="Arial"/>
          <w:b/>
          <w:sz w:val="22"/>
        </w:rPr>
        <w:t>所有 Leaf</w:t>
      </w:r>
    </w:p>
    <w:p w14:paraId="4FC24D22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Broadcom Tomahawk 6（BCM78919）是一颗 “通用以太网交换芯片”，既可以当 Leaf，也可以当 Spine</w:t>
      </w:r>
    </w:p>
    <w:p w14:paraId="560BE3C6">
      <w:pPr>
        <w:numPr>
          <w:ilvl w:val="0"/>
          <w:numId w:val="1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高端交换芯片（Tomahawk 系列）</w:t>
      </w:r>
      <w:r>
        <w:rPr>
          <w:rFonts w:ascii="Arial" w:hAnsi="Arial" w:eastAsia="等线" w:cs="Arial"/>
          <w:b/>
          <w:sz w:val="22"/>
        </w:rPr>
        <w:t>不区分 Leaf/Spine 硬件</w:t>
      </w:r>
      <w:r>
        <w:rPr>
          <w:rFonts w:ascii="Arial" w:hAnsi="Arial" w:eastAsia="等线" w:cs="Arial"/>
          <w:sz w:val="22"/>
        </w:rPr>
        <w:t>，只看</w:t>
      </w:r>
      <w:r>
        <w:rPr>
          <w:rFonts w:ascii="Arial" w:hAnsi="Arial" w:eastAsia="等线" w:cs="Arial"/>
          <w:b/>
          <w:sz w:val="22"/>
        </w:rPr>
        <w:t>软件配置与端口规划；</w:t>
      </w:r>
    </w:p>
    <w:p w14:paraId="49981100">
      <w:pPr>
        <w:numPr>
          <w:ilvl w:val="0"/>
          <w:numId w:val="1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Scale-Up及Scale-Out通用交换芯片：</w:t>
      </w:r>
    </w:p>
    <w:p w14:paraId="6F3F5A21">
      <w:pPr>
        <w:numPr>
          <w:ilvl w:val="0"/>
          <w:numId w:val="17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Scale-Up：</w:t>
      </w:r>
    </w:p>
    <w:p w14:paraId="0B81E8C0">
      <w:pPr>
        <w:numPr>
          <w:ilvl w:val="0"/>
          <w:numId w:val="174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= 只有 Leaf，没有 Spine；</w:t>
      </w:r>
    </w:p>
    <w:p w14:paraId="468892B3">
      <w:pPr>
        <w:numPr>
          <w:ilvl w:val="0"/>
          <w:numId w:val="175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单交换机直连 XPU，小集群无阻塞；</w:t>
      </w:r>
    </w:p>
    <w:p w14:paraId="686553C2">
      <w:pPr>
        <w:numPr>
          <w:ilvl w:val="0"/>
          <w:numId w:val="17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小集群：512 XPU（Scale-Up）</w:t>
      </w:r>
    </w:p>
    <w:p w14:paraId="2BF55ABB">
      <w:pPr>
        <w:numPr>
          <w:ilvl w:val="0"/>
          <w:numId w:val="17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Scale-Out：</w:t>
      </w:r>
    </w:p>
    <w:p w14:paraId="69C1A1DB">
      <w:pPr>
        <w:numPr>
          <w:ilvl w:val="0"/>
          <w:numId w:val="178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= Leaf + Spine 两层；</w:t>
      </w:r>
    </w:p>
    <w:p w14:paraId="4EBCAB59">
      <w:pPr>
        <w:numPr>
          <w:ilvl w:val="0"/>
          <w:numId w:val="179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Leaf-Spine 两层 Clos，构建超大规模 AI 集群：</w:t>
      </w:r>
    </w:p>
    <w:p w14:paraId="393AEA86">
      <w:pPr>
        <w:numPr>
          <w:ilvl w:val="0"/>
          <w:numId w:val="180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b/>
          <w:sz w:val="22"/>
        </w:rPr>
        <w:t>大集群：100,000+ XPU（Scale-Out）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2D720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C3CB1">
            <w:pPr>
              <w:numPr>
                <w:ilvl w:val="0"/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官方强调：单芯片可同时支撑两层 Clos 的所有角色</w:t>
            </w:r>
          </w:p>
          <w:p w14:paraId="512FC36A">
            <w:pPr>
              <w:numPr>
                <w:ilvl w:val="0"/>
                <w:numId w:val="18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>“Support for arbitrary topologies, including Clos“</w:t>
            </w:r>
          </w:p>
          <w:p w14:paraId="047EC79F">
            <w:pPr>
              <w:numPr>
                <w:ilvl w:val="0"/>
                <w:numId w:val="18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>“Supports Scale-Up cluster size of 512 XPUs and up to 100,000+ XPUs in two-tier networks at 200 Gbps per link”</w:t>
            </w:r>
          </w:p>
          <w:p w14:paraId="0D41B0B6">
            <w:pPr>
              <w:numPr>
                <w:ilvl w:val="0"/>
                <w:numId w:val="184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“Tomahawk 6 is built to power the next generation of scale-up and scale-out AI networks, delivering unmatched flexibility”</w:t>
            </w:r>
          </w:p>
          <w:p w14:paraId="185B4322">
            <w:pPr>
              <w:numPr>
                <w:ilvl w:val="0"/>
                <w:numId w:val="185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 xml:space="preserve">“Highly optimized for </w:t>
            </w:r>
            <w:r>
              <w:rPr>
                <w:rFonts w:ascii="Arial" w:hAnsi="Arial" w:eastAsia="等线" w:cs="Arial"/>
                <w:b/>
                <w:i/>
                <w:color w:val="646A73"/>
                <w:sz w:val="22"/>
              </w:rPr>
              <w:t xml:space="preserve">scale-up and scale-out AI </w:t>
            </w:r>
            <w:r>
              <w:rPr>
                <w:rFonts w:ascii="Arial" w:hAnsi="Arial" w:eastAsia="等线" w:cs="Arial"/>
                <w:i/>
                <w:color w:val="646A73"/>
                <w:sz w:val="22"/>
              </w:rPr>
              <w:t>networks”</w:t>
            </w:r>
          </w:p>
        </w:tc>
      </w:tr>
    </w:tbl>
    <w:p w14:paraId="6FCE6C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C383CD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color w:val="3370FF"/>
          <w:sz w:val="28"/>
        </w:rPr>
        <w:t xml:space="preserve">4.3 </w:t>
      </w:r>
      <w:r>
        <w:rPr>
          <w:rFonts w:ascii="Arial" w:hAnsi="Arial" w:eastAsia="等线" w:cs="Arial"/>
          <w:b/>
          <w:sz w:val="28"/>
        </w:rPr>
        <w:t>产业生态路线（落地与扩张）</w:t>
      </w:r>
      <w:bookmarkEnd w:id="27"/>
    </w:p>
    <w:p w14:paraId="43335A50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供应链策略：模块化 + 开放选型</w:t>
      </w:r>
    </w:p>
    <w:p w14:paraId="44516DC5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光引擎：天孚通信独家供应 51.2T/102.4T 光引擎，同时开放 FIT、TwinstarTech 等多供应商选项。</w:t>
      </w:r>
    </w:p>
    <w:p w14:paraId="26509560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封装测试：台积电负责 COUPE 先进封装，SPIL 提供芯片封装测试，制造环节标准化，降低客户集成难度。</w:t>
      </w:r>
    </w:p>
    <w:p w14:paraId="30B2B8BD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制造自动化：自研后端组装与测试自动化方案，实现月量产，良率提升至 90% 以上。</w:t>
      </w:r>
    </w:p>
    <w:p w14:paraId="10CF27BA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客户分层：覆盖全类型数据中心玩家</w:t>
      </w:r>
    </w:p>
    <w:p w14:paraId="6BD4AF08">
      <w:pPr>
        <w:spacing w:before="120" w:after="120" w:line="288" w:lineRule="auto"/>
        <w:ind w:left="0"/>
      </w:pPr>
      <w:r>
        <w:object>
          <v:shape id="_x0000_i1031" o:spt="75" type="#_x0000_t75" style="height:115pt;width:41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33">
            <o:LockedField>false</o:LockedField>
          </o:OLEObject>
        </w:object>
      </w:r>
    </w:p>
    <w:p w14:paraId="257002C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76556F8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Delta Electronics 宣布基于 </w:t>
      </w:r>
      <w:r>
        <w:rPr>
          <w:rFonts w:ascii="Arial" w:hAnsi="Arial" w:eastAsia="等线" w:cs="Arial"/>
          <w:b/>
          <w:sz w:val="22"/>
        </w:rPr>
        <w:t>TH5-Bailly 51.2T CPO</w:t>
      </w:r>
      <w:r>
        <w:rPr>
          <w:rFonts w:ascii="Arial" w:hAnsi="Arial" w:eastAsia="等线" w:cs="Arial"/>
          <w:sz w:val="22"/>
        </w:rPr>
        <w:t xml:space="preserve"> 生产 3RU 交换机（风冷 / 液冷）</w:t>
      </w:r>
    </w:p>
    <w:p w14:paraId="2F0F014A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Micas Networks（主打 </w:t>
      </w:r>
      <w:r>
        <w:rPr>
          <w:rFonts w:ascii="Arial" w:hAnsi="Arial" w:eastAsia="等线" w:cs="Arial"/>
          <w:b/>
          <w:sz w:val="22"/>
        </w:rPr>
        <w:t>白牌、高性价比、快速上市</w:t>
      </w:r>
      <w:r>
        <w:rPr>
          <w:rFonts w:ascii="Arial" w:hAnsi="Arial" w:eastAsia="等线" w:cs="Arial"/>
          <w:sz w:val="22"/>
        </w:rPr>
        <w:t xml:space="preserve"> 的 CPO 交换机）：博通提供 </w:t>
      </w:r>
      <w:r>
        <w:rPr>
          <w:rFonts w:ascii="Arial" w:hAnsi="Arial" w:eastAsia="等线" w:cs="Arial"/>
          <w:b/>
          <w:sz w:val="22"/>
        </w:rPr>
        <w:t>标准化 CPO 方案</w:t>
      </w:r>
      <w:r>
        <w:rPr>
          <w:rFonts w:ascii="Arial" w:hAnsi="Arial" w:eastAsia="等线" w:cs="Arial"/>
          <w:sz w:val="22"/>
        </w:rPr>
        <w:t>，Micas 快速量产</w:t>
      </w:r>
      <w:r>
        <w:rPr>
          <w:rFonts w:ascii="Arial" w:hAnsi="Arial" w:eastAsia="等线" w:cs="Arial"/>
          <w:b/>
          <w:sz w:val="22"/>
        </w:rPr>
        <w:t>白牌 CPO 交换机</w:t>
      </w:r>
      <w:r>
        <w:rPr>
          <w:rFonts w:ascii="Arial" w:hAnsi="Arial" w:eastAsia="等线" w:cs="Arial"/>
          <w:sz w:val="22"/>
        </w:rPr>
        <w:t xml:space="preserve">，系统功耗比传统可插拔方案低 </w:t>
      </w:r>
      <w:r>
        <w:rPr>
          <w:rFonts w:ascii="Arial" w:hAnsi="Arial" w:eastAsia="等线" w:cs="Arial"/>
          <w:b/>
          <w:sz w:val="22"/>
        </w:rPr>
        <w:t>30%+</w:t>
      </w:r>
      <w:r>
        <w:rPr>
          <w:rFonts w:ascii="Arial" w:hAnsi="Arial" w:eastAsia="等线" w:cs="Arial"/>
          <w:sz w:val="22"/>
        </w:rPr>
        <w:t xml:space="preserve"> ，面向云厂商/数据中心客户</w:t>
      </w:r>
    </w:p>
    <w:p w14:paraId="0FBA5608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博通 × 腾讯合作：锐捷（Ruijie）负责 </w:t>
      </w:r>
      <w:r>
        <w:rPr>
          <w:rFonts w:ascii="Arial" w:hAnsi="Arial" w:eastAsia="等线" w:cs="Arial"/>
          <w:b/>
          <w:sz w:val="22"/>
        </w:rPr>
        <w:t>设计验证、制造、测试</w:t>
      </w:r>
      <w:r>
        <w:rPr>
          <w:rFonts w:ascii="Arial" w:hAnsi="Arial" w:eastAsia="等线" w:cs="Arial"/>
          <w:sz w:val="22"/>
        </w:rPr>
        <w:t xml:space="preserve"> CPO 整机，再交付给腾讯</w:t>
      </w:r>
    </w:p>
    <w:p w14:paraId="39C8F707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Meta、AWS、字节均与博通深度合作，</w:t>
      </w:r>
      <w:r>
        <w:rPr>
          <w:rFonts w:ascii="Arial" w:hAnsi="Arial" w:eastAsia="等线" w:cs="Arial"/>
          <w:b/>
          <w:sz w:val="22"/>
        </w:rPr>
        <w:t>自研 CPO 整机</w:t>
      </w:r>
      <w:r>
        <w:rPr>
          <w:rFonts w:ascii="Arial" w:hAnsi="Arial" w:eastAsia="等线" w:cs="Arial"/>
          <w:sz w:val="22"/>
        </w:rPr>
        <w:t>，不依赖传统设备商</w:t>
      </w:r>
    </w:p>
    <w:p w14:paraId="06325C4A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color w:val="3370FF"/>
          <w:sz w:val="28"/>
        </w:rPr>
        <w:t xml:space="preserve">4.4 </w:t>
      </w:r>
      <w:r>
        <w:rPr>
          <w:rFonts w:ascii="Arial" w:hAnsi="Arial" w:eastAsia="等线" w:cs="Arial"/>
          <w:b/>
          <w:sz w:val="28"/>
        </w:rPr>
        <w:t>标准与生态共建</w:t>
      </w:r>
      <w:bookmarkEnd w:id="28"/>
    </w:p>
    <w:p w14:paraId="14DC868D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主导</w:t>
      </w:r>
      <w:r>
        <w:rPr>
          <w:rFonts w:ascii="Arial" w:hAnsi="Arial" w:eastAsia="等线" w:cs="Arial"/>
          <w:b/>
          <w:sz w:val="22"/>
        </w:rPr>
        <w:t>200G/lane 以太网 CPO 标准</w:t>
      </w:r>
      <w:r>
        <w:rPr>
          <w:rFonts w:ascii="Arial" w:hAnsi="Arial" w:eastAsia="等线" w:cs="Arial"/>
          <w:sz w:val="22"/>
        </w:rPr>
        <w:t>，推动行业统一接口，确保多厂商互通</w:t>
      </w:r>
    </w:p>
    <w:p w14:paraId="63A37141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与台积电、天孚通信等联合优化封装与光引擎，降低产业链整体成本</w:t>
      </w:r>
    </w:p>
    <w:p w14:paraId="29796961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公开分享可靠性数据（如 TH5-Bailly 512 车道全链路测试），增强客户信心</w:t>
      </w:r>
    </w:p>
    <w:p w14:paraId="5D63B1E7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color w:val="3370FF"/>
          <w:sz w:val="28"/>
        </w:rPr>
        <w:t xml:space="preserve">4.5 </w:t>
      </w:r>
      <w:r>
        <w:rPr>
          <w:rFonts w:ascii="Arial" w:hAnsi="Arial" w:eastAsia="等线" w:cs="Arial"/>
          <w:b/>
          <w:sz w:val="28"/>
        </w:rPr>
        <w:t>未来发展趋势（2026-2028）</w:t>
      </w:r>
      <w:bookmarkEnd w:id="29"/>
    </w:p>
    <w:p w14:paraId="067E0829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Gen 4 落地</w:t>
      </w:r>
      <w:r>
        <w:rPr>
          <w:rFonts w:ascii="Arial" w:hAnsi="Arial" w:eastAsia="等线" w:cs="Arial"/>
          <w:sz w:val="22"/>
        </w:rPr>
        <w:t>：400G/lane 技术商用，单芯片带宽突破 200Tbps，功耗再降 30%+Broadcom。</w:t>
      </w:r>
    </w:p>
    <w:p w14:paraId="7C774033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XPU-CPO 普及</w:t>
      </w:r>
      <w:r>
        <w:rPr>
          <w:rFonts w:ascii="Arial" w:hAnsi="Arial" w:eastAsia="等线" w:cs="Arial"/>
          <w:sz w:val="22"/>
        </w:rPr>
        <w:t>：从演示走向量产，成为 AI 服务器标配，进一步降低计算 - 互联延迟。</w:t>
      </w:r>
    </w:p>
    <w:p w14:paraId="23D1C023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成本下探</w:t>
      </w:r>
      <w:r>
        <w:rPr>
          <w:rFonts w:ascii="Arial" w:hAnsi="Arial" w:eastAsia="等线" w:cs="Arial"/>
          <w:sz w:val="22"/>
        </w:rPr>
        <w:t>：规模化生产推动 CPO 成本与可插拔光模块持平，加速替代进程。</w:t>
      </w:r>
    </w:p>
    <w:p w14:paraId="27D00214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生态扩张</w:t>
      </w:r>
      <w:r>
        <w:rPr>
          <w:rFonts w:ascii="Arial" w:hAnsi="Arial" w:eastAsia="等线" w:cs="Arial"/>
          <w:sz w:val="22"/>
        </w:rPr>
        <w:t>：纳入更多光组件与设备商，形成 “芯片 - 光引擎 - 整机 - 云厂商” 的完整开放生态。</w:t>
      </w:r>
    </w:p>
    <w:p w14:paraId="434E4E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A781AC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color w:val="3370FF"/>
          <w:sz w:val="30"/>
        </w:rPr>
        <w:t xml:space="preserve">5. </w:t>
      </w:r>
      <w:r>
        <w:rPr>
          <w:rFonts w:ascii="Arial" w:hAnsi="Arial" w:eastAsia="等线" w:cs="Arial"/>
          <w:b/>
          <w:sz w:val="30"/>
        </w:rPr>
        <w:t>NV vs 博通：CPO 生态核心对比</w:t>
      </w:r>
      <w:bookmarkEnd w:id="30"/>
    </w:p>
    <w:p w14:paraId="3EE3D05D">
      <w:pPr>
        <w:spacing w:before="120" w:after="120" w:line="288" w:lineRule="auto"/>
        <w:ind w:left="0"/>
      </w:pPr>
      <w:r>
        <w:object>
          <v:shape id="_x0000_i1032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xcel.Sheet.12" ShapeID="_x0000_i1032" DrawAspect="Icon" ObjectID="_1468075732" r:id="rId35">
            <o:LockedField>false</o:LockedField>
          </o:OLEObject>
        </w:object>
      </w:r>
    </w:p>
    <w:p w14:paraId="51E0772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1842777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color w:val="3370FF"/>
          <w:sz w:val="28"/>
        </w:rPr>
        <w:t xml:space="preserve">5.1 </w:t>
      </w:r>
      <w:r>
        <w:rPr>
          <w:rFonts w:ascii="Arial" w:hAnsi="Arial" w:eastAsia="等线" w:cs="Arial"/>
          <w:b/>
          <w:sz w:val="28"/>
        </w:rPr>
        <w:t>英伟达（NV）CPO 生态（垂直整合、私有标准、服务 GPU 集群）</w:t>
      </w:r>
      <w:bookmarkEnd w:id="31"/>
    </w:p>
    <w:p w14:paraId="29AFFC24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核心芯片 / ASIC 与晶圆代工（自研 + 独家代工）</w:t>
      </w:r>
    </w:p>
    <w:p w14:paraId="4A7A7562">
      <w:pPr>
        <w:numPr>
          <w:ilvl w:val="0"/>
          <w:numId w:val="2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台积电：独家代工 NV CPO 交换芯片（Spectrum-X），提供COUPE 3D 堆叠与硅光引擎制造</w:t>
      </w:r>
    </w:p>
    <w:p w14:paraId="50AA96E9">
      <w:pPr>
        <w:numPr>
          <w:ilvl w:val="0"/>
          <w:numId w:val="20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自研：Spectrum-X CPO 交换 ASIC、NVLink-C2C、Photonic Fabric 私有光互联协议</w:t>
      </w:r>
    </w:p>
    <w:p w14:paraId="4F695595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光引擎 / 光组件（核心 CPO 器件）</w:t>
      </w:r>
    </w:p>
    <w:p w14:paraId="0BBBEC7C">
      <w:pPr>
        <w:numPr>
          <w:ilvl w:val="0"/>
          <w:numId w:val="2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天孚通信：独家提供1.6T/3.2T 硅光引擎、FAU（光纤阵列单元），良率 99.5%</w:t>
      </w:r>
    </w:p>
    <w:p w14:paraId="286B3A64">
      <w:pPr>
        <w:numPr>
          <w:ilvl w:val="0"/>
          <w:numId w:val="20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6425D0"/>
          <w:sz w:val="22"/>
        </w:rPr>
        <w:t>Lumentum：高功率外部激光器（光源），NV 20 亿美元投资锁定产能</w:t>
      </w:r>
    </w:p>
    <w:p w14:paraId="7CF793A4">
      <w:pPr>
        <w:numPr>
          <w:ilvl w:val="0"/>
          <w:numId w:val="2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6425D0"/>
          <w:sz w:val="22"/>
        </w:rPr>
        <w:t>Coherent：高功率激光芯片、光互连组件</w:t>
      </w:r>
    </w:p>
    <w:p w14:paraId="7AACBB31">
      <w:pPr>
        <w:numPr>
          <w:ilvl w:val="0"/>
          <w:numId w:val="2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Browave、Senko、住友：光无源 / 有源组件、连接器</w:t>
      </w:r>
    </w:p>
    <w:p w14:paraId="3291EB77">
      <w:pPr>
        <w:numPr>
          <w:ilvl w:val="0"/>
          <w:numId w:val="2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Corning：光纤、光学基板、高密度连接器</w:t>
      </w:r>
    </w:p>
    <w:p w14:paraId="4A37C482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先进封装与测试（CPO 共封装关键）</w:t>
      </w:r>
    </w:p>
    <w:p w14:paraId="1E1E9A8A">
      <w:pPr>
        <w:numPr>
          <w:ilvl w:val="0"/>
          <w:numId w:val="2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台积电：晶圆级共封装（WLP）、3D 堆叠</w:t>
      </w:r>
    </w:p>
    <w:p w14:paraId="5ED3BF44">
      <w:pPr>
        <w:numPr>
          <w:ilvl w:val="0"/>
          <w:numId w:val="2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SPIL（矽品）、日月光（ASE）：光引擎 / 硅光芯片封装测试</w:t>
      </w:r>
    </w:p>
    <w:p w14:paraId="76A0031B">
      <w:pPr>
        <w:numPr>
          <w:ilvl w:val="0"/>
          <w:numId w:val="2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Fabrinet：CPO 交换机整机组装、光学校准、性能测试（独家）</w:t>
      </w:r>
    </w:p>
    <w:p w14:paraId="0ED1A540">
      <w:pPr>
        <w:numPr>
          <w:ilvl w:val="0"/>
          <w:numId w:val="2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罗博特科（FiconTEC）：光引擎高精度耦合 / 检测设备（独家）</w:t>
      </w:r>
    </w:p>
    <w:p w14:paraId="77175602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整机 / 系统集成（自有品牌 + 代工）</w:t>
      </w:r>
    </w:p>
    <w:p w14:paraId="03EAEFA3">
      <w:pPr>
        <w:numPr>
          <w:ilvl w:val="0"/>
          <w:numId w:val="2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富士康（工业富联）：CPO 交换机整机代工（独家）</w:t>
      </w:r>
    </w:p>
    <w:p w14:paraId="696C1072">
      <w:pPr>
        <w:numPr>
          <w:ilvl w:val="0"/>
          <w:numId w:val="2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自研整机：Spectrum-X CPO 交换机、Quantum-X 光互联系统，面向 DGX/HGX GPU 集群</w:t>
      </w:r>
    </w:p>
    <w:p w14:paraId="11C9EF2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4EB7A7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color w:val="3370FF"/>
          <w:sz w:val="28"/>
        </w:rPr>
        <w:t xml:space="preserve">5.2 </w:t>
      </w:r>
      <w:r>
        <w:rPr>
          <w:rFonts w:ascii="Arial" w:hAnsi="Arial" w:eastAsia="等线" w:cs="Arial"/>
          <w:b/>
          <w:sz w:val="28"/>
        </w:rPr>
        <w:t>博通（Broadcom）CPO 生态（开放标准、以太网路线、赋能设备商）</w:t>
      </w:r>
      <w:bookmarkEnd w:id="32"/>
    </w:p>
    <w:p w14:paraId="60026AA0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核心交换芯片（自研 + 行业标准）</w:t>
      </w:r>
    </w:p>
    <w:p w14:paraId="133EFF7F">
      <w:pPr>
        <w:numPr>
          <w:ilvl w:val="0"/>
          <w:numId w:val="2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自研：Tomahawk 5（51.2T）、Tomahawk 6（102.4T）CPO 交换 ASIC，定义以太网 CPO 通用标准</w:t>
      </w:r>
    </w:p>
    <w:p w14:paraId="4A558FA9">
      <w:pPr>
        <w:numPr>
          <w:ilvl w:val="0"/>
          <w:numId w:val="2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开放接口：兼容 OCP、IEEE 802.3，不绑定私有协议</w:t>
      </w:r>
    </w:p>
    <w:p w14:paraId="0194F559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光引擎 / 光组件（开放选型、多供应商）</w:t>
      </w:r>
    </w:p>
    <w:p w14:paraId="18E23564">
      <w:pPr>
        <w:numPr>
          <w:ilvl w:val="0"/>
          <w:numId w:val="2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天孚通信：独家提供 51.2T CPO 光引擎 + FAU</w:t>
      </w:r>
    </w:p>
    <w:p w14:paraId="33168F0D">
      <w:pPr>
        <w:numPr>
          <w:ilvl w:val="0"/>
          <w:numId w:val="2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新易盛：联合开发低功耗 1.6T/3.2T 光模块</w:t>
      </w:r>
    </w:p>
    <w:p w14:paraId="7FA0ACD4">
      <w:pPr>
        <w:numPr>
          <w:ilvl w:val="0"/>
          <w:numId w:val="2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FIT、TwinstarTech：CPO 光模块 / 组件</w:t>
      </w:r>
    </w:p>
    <w:p w14:paraId="697AC7E8">
      <w:pPr>
        <w:numPr>
          <w:ilvl w:val="0"/>
          <w:numId w:val="2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Corning：光纤、连接器、光互联方案</w:t>
      </w:r>
    </w:p>
    <w:p w14:paraId="63C5353C">
      <w:pPr>
        <w:numPr>
          <w:ilvl w:val="0"/>
          <w:numId w:val="2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太辰光：高密度 MPO 连接器</w:t>
      </w:r>
    </w:p>
    <w:p w14:paraId="1C41EEF0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先进封装与测试</w:t>
      </w:r>
    </w:p>
    <w:p w14:paraId="76F41570">
      <w:pPr>
        <w:numPr>
          <w:ilvl w:val="0"/>
          <w:numId w:val="2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SPIL（矽品）：CPO 芯片封装测试</w:t>
      </w:r>
    </w:p>
    <w:p w14:paraId="65A7D301">
      <w:pPr>
        <w:numPr>
          <w:ilvl w:val="0"/>
          <w:numId w:val="2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罗博特科（FiconTEC）：硅光耦合封装设备（独家）</w:t>
      </w:r>
    </w:p>
    <w:p w14:paraId="09820FC8">
      <w:pPr>
        <w:numPr>
          <w:ilvl w:val="0"/>
          <w:numId w:val="2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台积电：部分硅光芯片代工与封装</w:t>
      </w:r>
    </w:p>
    <w:p w14:paraId="0206784A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 / 系统厂商（博通只卖芯片，伙伴做整机）</w:t>
      </w:r>
    </w:p>
    <w:p w14:paraId="3730571A">
      <w:pPr>
        <w:numPr>
          <w:ilvl w:val="0"/>
          <w:numId w:val="2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Juniper Networks、H3C、锐捷、AELTA：基于博通芯片开发 CPO 交换机</w:t>
      </w:r>
    </w:p>
    <w:p w14:paraId="54DC598A">
      <w:pPr>
        <w:numPr>
          <w:ilvl w:val="0"/>
          <w:numId w:val="2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Micas Networks：白牌 CPO 交换机方案</w:t>
      </w:r>
    </w:p>
    <w:p w14:paraId="2DE8302E">
      <w:pPr>
        <w:numPr>
          <w:ilvl w:val="0"/>
          <w:numId w:val="2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云厂商：Meta、字节、AWS 等直接采购博通 CPO 芯片做自研设备</w:t>
      </w:r>
    </w:p>
    <w:p w14:paraId="706FD15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AAAF2D0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附：知识学习：COUPE + 微透镜 + 光纤阵列表面耦合</w:t>
      </w:r>
      <w:bookmarkEnd w:id="3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EF4A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26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COUPE(紧凑型通用光子引擎)技术——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整合用于光纤阵列</w:t>
            </w:r>
            <w:r>
              <w:rPr>
                <w:rFonts w:ascii="Arial" w:hAnsi="Arial" w:eastAsia="等线" w:cs="Arial"/>
                <w:b/>
                <w:color w:val="646A73"/>
                <w:sz w:val="22"/>
                <w:u w:val="single"/>
              </w:rPr>
              <w:t>表面耦合</w:t>
            </w:r>
            <w:r>
              <w:rPr>
                <w:rFonts w:ascii="Arial" w:hAnsi="Arial" w:eastAsia="等线" w:cs="Arial"/>
                <w:color w:val="646A73"/>
                <w:sz w:val="22"/>
                <w:u w:val="single"/>
              </w:rPr>
              <w:t>的微透镜</w:t>
            </w:r>
          </w:p>
          <w:p w14:paraId="4B9BC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到底是什么、为什么重要、为什么是 CPO 的关键</w:t>
            </w:r>
          </w:p>
        </w:tc>
      </w:tr>
    </w:tbl>
    <w:p w14:paraId="3A6D9268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</w:t>
      </w:r>
    </w:p>
    <w:p w14:paraId="31950A4B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COUPE = 台积电为CPO  “光电一体化封装平台”的关键设计：</w:t>
      </w:r>
      <w:r>
        <w:rPr>
          <w:rFonts w:ascii="Arial" w:hAnsi="Arial" w:eastAsia="等线" w:cs="Arial"/>
          <w:b/>
          <w:sz w:val="22"/>
        </w:rPr>
        <w:t>在芯片上直接刻好微透镜 → 让光纤阵列不用对准、直接 “贴上去” 就能高效发光 / 收光</w:t>
      </w:r>
    </w:p>
    <w:p w14:paraId="0B2CD86E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COUPE（紧凑型通用光子引擎）是台积电面向 CPO 的先进光电封装平台，通过在芯片表面集成微透镜结构，实现光纤阵列与硅光芯片的表面垂直耦合，大幅降低对准难度、提升集成密度，是 CPO 规模化量产的关键支撑技术</w:t>
      </w:r>
    </w:p>
    <w:p w14:paraId="7F6EC3FB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COUPE：</w:t>
      </w:r>
      <w:r>
        <w:rPr>
          <w:rFonts w:ascii="Arial" w:hAnsi="Arial" w:eastAsia="等线" w:cs="Arial"/>
          <w:sz w:val="22"/>
        </w:rPr>
        <w:t>Compact Universal Photonic Engine紧凑型通用光子引擎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4AA26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938"/>
              <w:gridCol w:w="3648"/>
            </w:tblGrid>
            <w:tr w14:paraId="6BD486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938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AA772F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color w:val="646A73"/>
                      <w:sz w:val="22"/>
                    </w:rPr>
                    <w:t>通俗解释：COUPE 技术 = 在光电共封装的芯片表面，预先刻好一排排微型透镜，让光纤阵列可以直接贴在芯片表面，轻松、稳定、大批量地完成光耦合</w:t>
                  </w:r>
                </w:p>
                <w:p w14:paraId="303D5DCA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  <w:tc>
                <w:tcPr>
                  <w:tcW w:w="3648" w:type="dxa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24027D34"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B="0" distL="0" distR="0">
                        <wp:extent cx="1628775" cy="809625"/>
                        <wp:effectExtent l="0" t="0" r="22225" b="3175"/>
                        <wp:docPr id="20" name="Drawing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Drawing 1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8775" cy="809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D3C069">
                  <w:pPr>
                    <w:spacing w:before="120" w:after="120" w:line="288" w:lineRule="auto"/>
                    <w:ind w:left="0"/>
                    <w:jc w:val="center"/>
                  </w:pPr>
                  <w:r>
                    <w:rPr>
                      <w:rFonts w:ascii="Arial" w:hAnsi="Arial" w:eastAsia="等线" w:cs="Arial"/>
                      <w:color w:val="8F959E"/>
                      <w:sz w:val="22"/>
                    </w:rPr>
                    <w:t>台积电官方图</w:t>
                  </w:r>
                  <w:r>
                    <w:rPr>
                      <w:rFonts w:ascii="Arial" w:hAnsi="Arial" w:eastAsia="等线" w:cs="Arial"/>
                      <w:color w:val="8F959E"/>
                      <w:sz w:val="22"/>
                    </w:rPr>
                    <w:br w:type="textWrapping"/>
                  </w:r>
                </w:p>
              </w:tc>
            </w:tr>
          </w:tbl>
          <w:p w14:paraId="249287CB"/>
        </w:tc>
      </w:tr>
    </w:tbl>
    <w:p w14:paraId="3E57A009">
      <w:pPr>
        <w:numPr>
          <w:ilvl w:val="0"/>
          <w:numId w:val="2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本质：</w:t>
      </w:r>
      <w:r>
        <w:rPr>
          <w:rFonts w:ascii="Arial" w:hAnsi="Arial" w:eastAsia="等线" w:cs="Arial"/>
          <w:b/>
          <w:sz w:val="22"/>
        </w:rPr>
        <w:t>台积电的 3D 先进封装方案，专门给 “芯片 + 光引擎 + 光纤” 一起封装用的。</w:t>
      </w:r>
    </w:p>
    <w:p w14:paraId="20247422">
      <w:pPr>
        <w:numPr>
          <w:ilvl w:val="0"/>
          <w:numId w:val="2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作用：把交换芯片（ASIC）、光引擎（SiPh）、光纤接口</w:t>
      </w:r>
      <w:r>
        <w:rPr>
          <w:rFonts w:ascii="Arial" w:hAnsi="Arial" w:eastAsia="等线" w:cs="Arial"/>
          <w:b/>
          <w:sz w:val="22"/>
        </w:rPr>
        <w:t>全部封在一个超级紧凑的模块里；</w:t>
      </w:r>
      <w:r>
        <w:rPr>
          <w:rFonts w:ascii="Arial" w:hAnsi="Arial" w:eastAsia="等线" w:cs="Arial"/>
          <w:sz w:val="22"/>
        </w:rPr>
        <w:t>这就是 CPO（Co-packaged optics）共封装光学</w:t>
      </w:r>
    </w:p>
    <w:p w14:paraId="560B6C7E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整合用于光纤阵列表面耦合的微透镜</w:t>
      </w:r>
    </w:p>
    <w:p w14:paraId="063D80D7">
      <w:pPr>
        <w:numPr>
          <w:ilvl w:val="0"/>
          <w:numId w:val="2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光纤阵列（FA / Fiber Array）：就是一捆整齐排列的光纤，CPO 里一次要传 16/32/64 路光，必须一排一起对接</w:t>
      </w:r>
    </w:p>
    <w:p w14:paraId="1DC3494F">
      <w:pPr>
        <w:numPr>
          <w:ilvl w:val="0"/>
          <w:numId w:val="2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表面耦合（Surface Coupling）</w:t>
      </w:r>
    </w:p>
    <w:p w14:paraId="50DDC73D">
      <w:pPr>
        <w:numPr>
          <w:ilvl w:val="0"/>
          <w:numId w:val="24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传统光模块是</w:t>
      </w:r>
      <w:r>
        <w:rPr>
          <w:rFonts w:ascii="Arial" w:hAnsi="Arial" w:eastAsia="等线" w:cs="Arial"/>
          <w:b/>
          <w:sz w:val="22"/>
        </w:rPr>
        <w:t>边缘耦合</w:t>
      </w:r>
      <w:r>
        <w:rPr>
          <w:rFonts w:ascii="Arial" w:hAnsi="Arial" w:eastAsia="等线" w:cs="Arial"/>
          <w:sz w:val="22"/>
        </w:rPr>
        <w:t>：光从芯片</w:t>
      </w:r>
      <w:r>
        <w:rPr>
          <w:rFonts w:ascii="Arial" w:hAnsi="Arial" w:eastAsia="等线" w:cs="Arial"/>
          <w:b/>
          <w:sz w:val="22"/>
        </w:rPr>
        <w:t>侧面</w:t>
      </w:r>
      <w:r>
        <w:rPr>
          <w:rFonts w:ascii="Arial" w:hAnsi="Arial" w:eastAsia="等线" w:cs="Arial"/>
          <w:sz w:val="22"/>
        </w:rPr>
        <w:t>射出来 → 接光纤；缺点：占空间、不好对准、不好量产。</w:t>
      </w:r>
    </w:p>
    <w:p w14:paraId="46A09C9A">
      <w:pPr>
        <w:numPr>
          <w:ilvl w:val="0"/>
          <w:numId w:val="24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边缘耦合（传统）：光从芯片侧面水平射出，光纤阵列要和芯片端面精准对齐（nm 级，成本高、密度受限）</w:t>
      </w:r>
    </w:p>
    <w:p w14:paraId="4EAC95F3">
      <w:pPr>
        <w:numPr>
          <w:ilvl w:val="0"/>
          <w:numId w:val="24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b/>
          <w:sz w:val="22"/>
        </w:rPr>
        <w:t>表面耦合 = 光从芯片</w:t>
      </w:r>
      <w:r>
        <w:rPr>
          <w:rFonts w:ascii="Arial" w:hAnsi="Arial" w:eastAsia="等线" w:cs="Arial"/>
          <w:sz w:val="22"/>
        </w:rPr>
        <w:t>表面</w:t>
      </w:r>
      <w:r>
        <w:rPr>
          <w:rFonts w:ascii="Arial" w:hAnsi="Arial" w:eastAsia="等线" w:cs="Arial"/>
          <w:b/>
          <w:sz w:val="22"/>
        </w:rPr>
        <w:t>垂直向上射出来</w:t>
      </w:r>
      <w:r>
        <w:rPr>
          <w:rFonts w:ascii="Arial" w:hAnsi="Arial" w:eastAsia="等线" w:cs="Arial"/>
          <w:sz w:val="22"/>
        </w:rPr>
        <w:t>向上发光，而不是向侧面</w:t>
      </w:r>
    </w:p>
    <w:p w14:paraId="4A91212F">
      <w:pPr>
        <w:numPr>
          <w:ilvl w:val="0"/>
          <w:numId w:val="248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表面垂直耦合（COUPE 方案）：光通过光栅耦合器从芯片表面垂直向上射出，芯片表面集成微透镜阵列聚焦 / 扩束；光纤阵列垂直 / 倾斜贴在表面，对准容错大幅放宽（到 μm 级）</w:t>
      </w:r>
    </w:p>
    <w:p w14:paraId="31627487">
      <w:pPr>
        <w:numPr>
          <w:ilvl w:val="0"/>
          <w:numId w:val="2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微透镜（Micro-lens）：在硅光芯片表面，</w:t>
      </w:r>
      <w:r>
        <w:rPr>
          <w:rFonts w:ascii="Arial" w:hAnsi="Arial" w:eastAsia="等线" w:cs="Arial"/>
          <w:b/>
          <w:sz w:val="22"/>
        </w:rPr>
        <w:t>用光刻直接刻出几百万个 tiny 小透镜</w:t>
      </w:r>
      <w:r>
        <w:rPr>
          <w:rFonts w:ascii="Arial" w:hAnsi="Arial" w:eastAsia="等线" w:cs="Arial"/>
          <w:sz w:val="22"/>
        </w:rPr>
        <w:t>。作用：</w:t>
      </w:r>
    </w:p>
    <w:p w14:paraId="3390A2B0">
      <w:pPr>
        <w:numPr>
          <w:ilvl w:val="0"/>
          <w:numId w:val="25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把光</w:t>
      </w:r>
      <w:r>
        <w:rPr>
          <w:rFonts w:ascii="Arial" w:hAnsi="Arial" w:eastAsia="等线" w:cs="Arial"/>
          <w:b/>
          <w:sz w:val="22"/>
        </w:rPr>
        <w:t>聚准、聚强</w:t>
      </w:r>
    </w:p>
    <w:p w14:paraId="245A4F55">
      <w:pPr>
        <w:numPr>
          <w:ilvl w:val="0"/>
          <w:numId w:val="25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让光纤只要 “贴在表面” 就能接住光</w:t>
      </w:r>
    </w:p>
    <w:p w14:paraId="72C5E939">
      <w:pPr>
        <w:numPr>
          <w:ilvl w:val="0"/>
          <w:numId w:val="25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 xml:space="preserve">对准难度从 </w:t>
      </w:r>
      <w:r>
        <w:rPr>
          <w:rFonts w:ascii="Arial" w:hAnsi="Arial" w:eastAsia="等线" w:cs="Arial"/>
          <w:b/>
          <w:sz w:val="22"/>
        </w:rPr>
        <w:t>nm 级 → 放宽到 μm 级</w:t>
      </w:r>
      <w:r>
        <w:rPr>
          <w:rFonts w:ascii="Arial" w:hAnsi="Arial" w:eastAsia="等线" w:cs="Arial"/>
          <w:sz w:val="22"/>
        </w:rPr>
        <w:t>量产难度直接</w:t>
      </w:r>
      <w:r>
        <w:rPr>
          <w:rFonts w:ascii="Arial" w:hAnsi="Arial" w:eastAsia="等线" w:cs="Arial"/>
          <w:b/>
          <w:sz w:val="22"/>
        </w:rPr>
        <w:t>下降一个数量级</w:t>
      </w:r>
    </w:p>
    <w:p w14:paraId="4DFEF7E2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为什么关键？</w:t>
      </w:r>
    </w:p>
    <w:p w14:paraId="47A1285C">
      <w:pPr>
        <w:numPr>
          <w:ilvl w:val="0"/>
          <w:numId w:val="2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不用复杂对准</w:t>
      </w:r>
      <w:r>
        <w:rPr>
          <w:rFonts w:ascii="Arial" w:hAnsi="Arial" w:eastAsia="等线" w:cs="Arial"/>
          <w:sz w:val="22"/>
        </w:rPr>
        <w:t>以前耦合要高精度设备（就是罗博特科 ficonTEC），难度极大。有了微透镜，</w:t>
      </w:r>
      <w:r>
        <w:rPr>
          <w:rFonts w:ascii="Arial" w:hAnsi="Arial" w:eastAsia="等线" w:cs="Arial"/>
          <w:b/>
          <w:sz w:val="22"/>
        </w:rPr>
        <w:t>容错率大幅提高</w:t>
      </w:r>
      <w:r>
        <w:rPr>
          <w:rFonts w:ascii="Arial" w:hAnsi="Arial" w:eastAsia="等线" w:cs="Arial"/>
          <w:sz w:val="22"/>
        </w:rPr>
        <w:t>。</w:t>
      </w:r>
    </w:p>
    <w:p w14:paraId="609BCB66">
      <w:pPr>
        <w:numPr>
          <w:ilvl w:val="0"/>
          <w:numId w:val="2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适合 CPO 高密度</w:t>
      </w:r>
      <w:r>
        <w:rPr>
          <w:rFonts w:ascii="Arial" w:hAnsi="Arial" w:eastAsia="等线" w:cs="Arial"/>
          <w:sz w:val="22"/>
        </w:rPr>
        <w:t>表面耦合不占侧面空间，可以把光引擎、芯片、光纤压得</w:t>
      </w:r>
      <w:r>
        <w:rPr>
          <w:rFonts w:ascii="Arial" w:hAnsi="Arial" w:eastAsia="等线" w:cs="Arial"/>
          <w:b/>
          <w:sz w:val="22"/>
        </w:rPr>
        <w:t>超级小、超级密</w:t>
      </w:r>
      <w:r>
        <w:rPr>
          <w:rFonts w:ascii="Arial" w:hAnsi="Arial" w:eastAsia="等线" w:cs="Arial"/>
          <w:sz w:val="22"/>
        </w:rPr>
        <w:t>。</w:t>
      </w:r>
    </w:p>
    <w:p w14:paraId="294E5459">
      <w:pPr>
        <w:numPr>
          <w:ilvl w:val="0"/>
          <w:numId w:val="2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良率飙升、成本下降</w:t>
      </w:r>
      <w:r>
        <w:rPr>
          <w:rFonts w:ascii="Arial" w:hAnsi="Arial" w:eastAsia="等线" w:cs="Arial"/>
          <w:sz w:val="22"/>
        </w:rPr>
        <w:t>这是 CPO 能</w:t>
      </w:r>
      <w:r>
        <w:rPr>
          <w:rFonts w:ascii="Arial" w:hAnsi="Arial" w:eastAsia="等线" w:cs="Arial"/>
          <w:b/>
          <w:sz w:val="22"/>
        </w:rPr>
        <w:t>从实验室走向量产</w:t>
      </w:r>
      <w:r>
        <w:rPr>
          <w:rFonts w:ascii="Arial" w:hAnsi="Arial" w:eastAsia="等线" w:cs="Arial"/>
          <w:sz w:val="22"/>
        </w:rPr>
        <w:t>的核心技术之一。</w:t>
      </w:r>
    </w:p>
    <w:p w14:paraId="299CA804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台积电和罗博特科 FiconTEC的分工，及罗博特科 FiconTEC为啥在NV和Broadcom都是独家</w:t>
      </w:r>
    </w:p>
    <w:p w14:paraId="662E290F">
      <w:pPr>
        <w:numPr>
          <w:ilvl w:val="0"/>
          <w:numId w:val="2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台积电 COUPE 是 “造芯片 + 造光路 + 造微透镜”（设计 + 制造）</w:t>
      </w:r>
    </w:p>
    <w:p w14:paraId="1271874C">
      <w:pPr>
        <w:numPr>
          <w:ilvl w:val="0"/>
          <w:numId w:val="2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罗博特科 FiconTEC 是 “把光纤 / 光引擎精准贴到芯片上”（封装 + 耦合 + 测试）</w:t>
      </w:r>
    </w:p>
    <w:p w14:paraId="212ED9EF">
      <w:pPr>
        <w:numPr>
          <w:ilvl w:val="0"/>
          <w:numId w:val="2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两者是上下游、互补关系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COUPE 降低了耦合难度，但依然需要 FiconTEC 的设备来实现量产级精准对准</w:t>
      </w:r>
      <w:r>
        <w:rPr>
          <w:rFonts w:ascii="Arial" w:hAnsi="Arial" w:eastAsia="等线" w:cs="Arial"/>
          <w:sz w:val="22"/>
        </w:rPr>
        <w:t>；两者是 “设计 - 制造 - 封装” 的完整链条。</w:t>
      </w:r>
    </w:p>
    <w:p w14:paraId="5B0BE3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B3C2B0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关键概念</w:t>
      </w:r>
      <w:bookmarkEnd w:id="34"/>
    </w:p>
    <w:p w14:paraId="24D2BE2C">
      <w:pPr>
        <w:spacing w:before="120" w:after="120" w:line="288" w:lineRule="auto"/>
        <w:ind w:left="0"/>
      </w:pPr>
      <w:r>
        <w:object>
          <v:shape id="_x0000_i1033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xcel.Sheet.12" ShapeID="_x0000_i1033" DrawAspect="Icon" ObjectID="_1468075733" r:id="rId38">
            <o:LockedField>false</o:LockedField>
          </o:OLEObject>
        </w:object>
      </w:r>
    </w:p>
    <w:p w14:paraId="3BE2D96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64"/>
        <w:gridCol w:w="4215"/>
      </w:tblGrid>
      <w:tr w14:paraId="0AFF6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B8F2D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19350" cy="1438275"/>
                  <wp:effectExtent l="0" t="0" r="19050" b="9525"/>
                  <wp:docPr id="21" name="Drawing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2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A3508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524125" cy="1438275"/>
                  <wp:effectExtent l="0" t="0" r="15875" b="9525"/>
                  <wp:docPr id="22" name="Drawing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2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6D6C7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7"/>
        <w:gridCol w:w="4582"/>
      </w:tblGrid>
      <w:tr w14:paraId="3FC8B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3A9F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190750" cy="1409700"/>
                  <wp:effectExtent l="0" t="0" r="19050" b="12700"/>
                  <wp:docPr id="23" name="Drawing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2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0EEB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752725" cy="1428750"/>
                  <wp:effectExtent l="0" t="0" r="15875" b="19050"/>
                  <wp:docPr id="24" name="Drawing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23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F326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428750"/>
            <wp:effectExtent l="0" t="0" r="0" b="19050"/>
            <wp:docPr id="25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9BF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686175" cy="5505450"/>
            <wp:effectExtent l="0" t="0" r="22225" b="6350"/>
            <wp:docPr id="26" name="Drawing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0A9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source</w:t>
      </w:r>
      <w:bookmarkEnd w:id="35"/>
    </w:p>
    <w:p w14:paraId="44DC38DD">
      <w:pPr>
        <w:spacing w:after="60"/>
      </w:pPr>
      <w:r>
        <w:rPr>
          <w:rFonts w:ascii="微软雅黑" w:hAnsi="微软雅黑" w:eastAsia="微软雅黑"/>
          <w:sz w:val="20"/>
        </w:rPr>
        <w:t>[1] NVIDIA官方网络产品页面</w:t>
      </w:r>
    </w:p>
    <w:p w14:paraId="64DCB571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https://www.nvidia.com/en-us/networking/</w:t>
      </w:r>
    </w:p>
    <w:p w14:paraId="040AE7ED">
      <w:pPr>
        <w:spacing w:after="60"/>
      </w:pPr>
      <w:r>
        <w:rPr>
          <w:rFonts w:ascii="微软雅黑" w:hAnsi="微软雅黑" w:eastAsia="微软雅黑"/>
          <w:sz w:val="20"/>
        </w:rPr>
        <w:t>[2] NVIDIA Quantum-X Photonic产品介绍</w:t>
      </w:r>
    </w:p>
    <w:p w14:paraId="183BD603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https://www.nvidia.com/en-us/networking/quantum-x-photonic/</w:t>
      </w:r>
    </w:p>
    <w:p w14:paraId="0EA6A017">
      <w:pPr>
        <w:spacing w:after="60"/>
      </w:pPr>
      <w:r>
        <w:rPr>
          <w:rFonts w:ascii="微软雅黑" w:hAnsi="微软雅黑" w:eastAsia="微软雅黑"/>
          <w:sz w:val="20"/>
        </w:rPr>
        <w:t>[3] NVIDIA Spectrum-X Photonic产品介绍</w:t>
      </w:r>
    </w:p>
    <w:p w14:paraId="70A1AEB1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https://www.nvidia.com/en-us/networking/spectrum-x-photonic/</w:t>
      </w:r>
    </w:p>
    <w:p w14:paraId="53EA2915">
      <w:pPr>
        <w:spacing w:after="60"/>
      </w:pPr>
      <w:r>
        <w:rPr>
          <w:rFonts w:ascii="微软雅黑" w:hAnsi="微软雅黑" w:eastAsia="微软雅黑"/>
          <w:sz w:val="20"/>
        </w:rPr>
        <w:t>[4] NVIDIA 2025 GTC主题演讲（CPO产品发布）</w:t>
      </w:r>
    </w:p>
    <w:p w14:paraId="0566D6F6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https://www.nvidia.com/en-us/events/gtc/</w:t>
      </w:r>
    </w:p>
    <w:p w14:paraId="5CCBC0B7">
      <w:pPr>
        <w:spacing w:after="60"/>
      </w:pPr>
      <w:r>
        <w:rPr>
          <w:rFonts w:ascii="微软雅黑" w:hAnsi="微软雅黑" w:eastAsia="微软雅黑"/>
          <w:sz w:val="20"/>
        </w:rPr>
        <w:t>[5] Broadcom Tomahawk 6产品信息</w:t>
      </w:r>
    </w:p>
    <w:p w14:paraId="3D3E949A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https://www.broadcom.com/info/optics</w:t>
      </w:r>
    </w:p>
    <w:p w14:paraId="67A2BAE8">
      <w:pPr>
        <w:spacing w:after="60"/>
      </w:pPr>
      <w:r>
        <w:rPr>
          <w:rFonts w:ascii="微软雅黑" w:hAnsi="微软雅黑" w:eastAsia="微软雅黑"/>
          <w:sz w:val="20"/>
        </w:rPr>
        <w:t>[6] Broadcom官方博客——CPO技术专栏</w:t>
      </w:r>
    </w:p>
    <w:p w14:paraId="1FBD6FB3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https://www.broadcom.com/blog/category/optical</w:t>
      </w:r>
    </w:p>
    <w:p w14:paraId="17B97A40">
      <w:pPr>
        <w:spacing w:after="60"/>
      </w:pPr>
      <w:r>
        <w:rPr>
          <w:rFonts w:ascii="微软雅黑" w:hAnsi="微软雅黑" w:eastAsia="微软雅黑"/>
          <w:sz w:val="20"/>
        </w:rPr>
        <w:t>[7] Lumentum官方网站——产品与技术</w:t>
      </w:r>
    </w:p>
    <w:p w14:paraId="23C0D48B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https://www.lumentum.com/en/products</w:t>
      </w:r>
    </w:p>
    <w:p w14:paraId="067B4EAC">
      <w:pPr>
        <w:spacing w:after="60"/>
      </w:pPr>
      <w:r>
        <w:rPr>
          <w:rFonts w:ascii="微软雅黑" w:hAnsi="微软雅黑" w:eastAsia="微软雅黑"/>
          <w:sz w:val="20"/>
        </w:rPr>
        <w:t>[8] Lumentum投资者关系（SEC公告）</w:t>
      </w:r>
    </w:p>
    <w:p w14:paraId="3CBB5D3B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https://investor.lumentum.com/</w:t>
      </w:r>
    </w:p>
    <w:p w14:paraId="4CC812A4">
      <w:pPr>
        <w:spacing w:after="60"/>
      </w:pPr>
      <w:r>
        <w:rPr>
          <w:rFonts w:ascii="微软雅黑" w:hAnsi="微软雅黑" w:eastAsia="微软雅黑"/>
          <w:sz w:val="20"/>
        </w:rPr>
        <w:t>[9] Coherent官方网站——产品与技术</w:t>
      </w:r>
    </w:p>
    <w:p w14:paraId="2350DE2E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https://www.coherent.com/products</w:t>
      </w:r>
    </w:p>
    <w:p w14:paraId="51B2E22B">
      <w:pPr>
        <w:spacing w:after="60"/>
      </w:pPr>
      <w:r>
        <w:rPr>
          <w:rFonts w:ascii="微软雅黑" w:hAnsi="微软雅黑" w:eastAsia="微软雅黑"/>
          <w:sz w:val="20"/>
        </w:rPr>
        <w:t>[10] Coherent投资者关系（SEC公告）</w:t>
      </w:r>
    </w:p>
    <w:p w14:paraId="1E629689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https://investors.coherent.com/</w:t>
      </w:r>
    </w:p>
    <w:p w14:paraId="3070F440">
      <w:pPr>
        <w:spacing w:after="60"/>
      </w:pPr>
      <w:r>
        <w:rPr>
          <w:rFonts w:ascii="微软雅黑" w:hAnsi="微软雅黑" w:eastAsia="微软雅黑"/>
          <w:sz w:val="20"/>
        </w:rPr>
        <w:t>[11] TSMC COUPE技术资料</w:t>
      </w:r>
    </w:p>
    <w:p w14:paraId="0E85FA4B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https://www.tsmc.com/english/default.htm</w:t>
      </w:r>
    </w:p>
    <w:p w14:paraId="187F9611">
      <w:pPr>
        <w:spacing w:after="60"/>
      </w:pPr>
      <w:r>
        <w:rPr>
          <w:rFonts w:ascii="微软雅黑" w:hAnsi="微软雅黑" w:eastAsia="微软雅黑"/>
          <w:sz w:val="20"/>
        </w:rPr>
        <w:t>[12] TSMC SoIC先进封装技术</w:t>
      </w:r>
    </w:p>
    <w:p w14:paraId="3AA3D22C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https://www.tsmc.com/english/dedicatedFoundry/technology/soic</w:t>
      </w:r>
    </w:p>
    <w:p w14:paraId="5725EF77">
      <w:pPr>
        <w:spacing w:after="60"/>
      </w:pPr>
      <w:r>
        <w:rPr>
          <w:rFonts w:ascii="微软雅黑" w:hAnsi="微软雅黑" w:eastAsia="微软雅黑"/>
          <w:sz w:val="20"/>
        </w:rPr>
        <w:t>[13] IEEE 802.3标准文档</w:t>
      </w:r>
    </w:p>
    <w:p w14:paraId="272936AC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https://www.ieee802.org/3/</w:t>
      </w:r>
    </w:p>
    <w:p w14:paraId="79D6B5EA">
      <w:pPr>
        <w:spacing w:after="60"/>
      </w:pPr>
      <w:r>
        <w:rPr>
          <w:rFonts w:ascii="微软雅黑" w:hAnsi="微软雅黑" w:eastAsia="微软雅黑"/>
          <w:sz w:val="20"/>
        </w:rPr>
        <w:t>[14] OCP（Open Compute Project）开放计算标准</w:t>
      </w:r>
    </w:p>
    <w:p w14:paraId="3F8DDFED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https://www.opencompute.org/</w:t>
      </w:r>
    </w:p>
    <w:p w14:paraId="450084FC">
      <w:pPr>
        <w:spacing w:after="60"/>
      </w:pPr>
      <w:r>
        <w:rPr>
          <w:rFonts w:ascii="微软雅黑" w:hAnsi="微软雅黑" w:eastAsia="微软雅黑"/>
          <w:sz w:val="20"/>
        </w:rPr>
        <w:t>[15] NVIDIA NVL72/NVL144 GPU平台</w:t>
      </w:r>
    </w:p>
    <w:p w14:paraId="0EFA44F4">
      <w:pPr>
        <w:spacing w:after="120"/>
        <w:ind w:left="567"/>
      </w:pPr>
      <w:r>
        <w:rPr>
          <w:rFonts w:ascii="微软雅黑" w:hAnsi="微软雅黑" w:eastAsia="微软雅黑"/>
          <w:color w:val="0563C1"/>
          <w:sz w:val="20"/>
          <w:u w:val="single"/>
        </w:rPr>
        <w:t>https://www.nvidia.com/en-us/data-center/nvl72/</w:t>
      </w:r>
    </w:p>
    <w:p w14:paraId="68F2DE8F">
      <w:pPr>
        <w:spacing w:before="120" w:after="120" w:line="288" w:lineRule="auto"/>
        <w:ind w:left="0"/>
        <w:jc w:val="left"/>
      </w:pPr>
      <w:bookmarkStart w:id="36" w:name="_GoBack"/>
      <w:bookmarkEnd w:id="36"/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DFB03"/>
    <w:multiLevelType w:val="singleLevel"/>
    <w:tmpl w:val="878DFB0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BDF8A79"/>
    <w:multiLevelType w:val="singleLevel"/>
    <w:tmpl w:val="8BDF8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47E93C7"/>
    <w:multiLevelType w:val="singleLevel"/>
    <w:tmpl w:val="947E93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573D6EE"/>
    <w:multiLevelType w:val="singleLevel"/>
    <w:tmpl w:val="9573D6E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79C654F"/>
    <w:multiLevelType w:val="singleLevel"/>
    <w:tmpl w:val="979C65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BBE20F2"/>
    <w:multiLevelType w:val="singleLevel"/>
    <w:tmpl w:val="9BBE20F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BDD55D0"/>
    <w:multiLevelType w:val="singleLevel"/>
    <w:tmpl w:val="9BDD55D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BEB4063"/>
    <w:multiLevelType w:val="singleLevel"/>
    <w:tmpl w:val="9BEB40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DD725B6"/>
    <w:multiLevelType w:val="singleLevel"/>
    <w:tmpl w:val="9DD725B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9F3A39BF"/>
    <w:multiLevelType w:val="singleLevel"/>
    <w:tmpl w:val="9F3A39B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A37F5BFF"/>
    <w:multiLevelType w:val="singleLevel"/>
    <w:tmpl w:val="A37F5B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3F64DE4"/>
    <w:multiLevelType w:val="singleLevel"/>
    <w:tmpl w:val="A3F64D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ADDCAE26"/>
    <w:multiLevelType w:val="singleLevel"/>
    <w:tmpl w:val="ADDC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ADFFC98F"/>
    <w:multiLevelType w:val="singleLevel"/>
    <w:tmpl w:val="ADFFC98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AEF6A58B"/>
    <w:multiLevelType w:val="singleLevel"/>
    <w:tmpl w:val="AEF6A5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AFC77FAE"/>
    <w:multiLevelType w:val="singleLevel"/>
    <w:tmpl w:val="AFC77F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AFE7BCA8"/>
    <w:multiLevelType w:val="singleLevel"/>
    <w:tmpl w:val="AFE7BC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FFA440D"/>
    <w:multiLevelType w:val="singleLevel"/>
    <w:tmpl w:val="AFFA44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AFFF3405"/>
    <w:multiLevelType w:val="singleLevel"/>
    <w:tmpl w:val="AFFF340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3E07889"/>
    <w:multiLevelType w:val="singleLevel"/>
    <w:tmpl w:val="B3E078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3F5BE1B"/>
    <w:multiLevelType w:val="singleLevel"/>
    <w:tmpl w:val="B3F5BE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5D7F137"/>
    <w:multiLevelType w:val="singleLevel"/>
    <w:tmpl w:val="B5D7F1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77E67BB"/>
    <w:multiLevelType w:val="singleLevel"/>
    <w:tmpl w:val="B77E67B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B7BE0B8C"/>
    <w:multiLevelType w:val="singleLevel"/>
    <w:tmpl w:val="B7BE0B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96F1CA7"/>
    <w:multiLevelType w:val="singleLevel"/>
    <w:tmpl w:val="B96F1C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9DADC0E"/>
    <w:multiLevelType w:val="singleLevel"/>
    <w:tmpl w:val="B9DADC0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BADAB95C"/>
    <w:multiLevelType w:val="singleLevel"/>
    <w:tmpl w:val="BADAB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BDF3D80"/>
    <w:multiLevelType w:val="singleLevel"/>
    <w:tmpl w:val="BBDF3D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BBF724A2"/>
    <w:multiLevelType w:val="singleLevel"/>
    <w:tmpl w:val="BBF724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BFC8579"/>
    <w:multiLevelType w:val="singleLevel"/>
    <w:tmpl w:val="BBFC85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DFE0B98"/>
    <w:multiLevelType w:val="singleLevel"/>
    <w:tmpl w:val="BDFE0B9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BF569607"/>
    <w:multiLevelType w:val="singleLevel"/>
    <w:tmpl w:val="BF5696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BF5FCBB5"/>
    <w:multiLevelType w:val="singleLevel"/>
    <w:tmpl w:val="BF5FCB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6AB31C"/>
    <w:multiLevelType w:val="singleLevel"/>
    <w:tmpl w:val="BF6AB3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F7F3579"/>
    <w:multiLevelType w:val="singleLevel"/>
    <w:tmpl w:val="BF7F35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BFB4EEEB"/>
    <w:multiLevelType w:val="singleLevel"/>
    <w:tmpl w:val="BFB4EEE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BFBBB313"/>
    <w:multiLevelType w:val="singleLevel"/>
    <w:tmpl w:val="BFBBB3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EEEA01"/>
    <w:multiLevelType w:val="singleLevel"/>
    <w:tmpl w:val="BFEEEA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BFEF5487"/>
    <w:multiLevelType w:val="singleLevel"/>
    <w:tmpl w:val="BFEF54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BFF64B92"/>
    <w:multiLevelType w:val="singleLevel"/>
    <w:tmpl w:val="BFF64B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BFFD1368"/>
    <w:multiLevelType w:val="singleLevel"/>
    <w:tmpl w:val="BFFD13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BFFE1C39"/>
    <w:multiLevelType w:val="singleLevel"/>
    <w:tmpl w:val="BFFE1C3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BFFFC2A8"/>
    <w:multiLevelType w:val="singleLevel"/>
    <w:tmpl w:val="BFFFC2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67EC573"/>
    <w:multiLevelType w:val="singleLevel"/>
    <w:tmpl w:val="C67EC5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C7FF54C0"/>
    <w:multiLevelType w:val="singleLevel"/>
    <w:tmpl w:val="C7FF54C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CBBE5AE4"/>
    <w:multiLevelType w:val="singleLevel"/>
    <w:tmpl w:val="CBBE5AE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6">
    <w:nsid w:val="CBFBE22A"/>
    <w:multiLevelType w:val="singleLevel"/>
    <w:tmpl w:val="CBFBE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CEBE01A0"/>
    <w:multiLevelType w:val="singleLevel"/>
    <w:tmpl w:val="CEBE01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CF7F2399"/>
    <w:multiLevelType w:val="singleLevel"/>
    <w:tmpl w:val="CF7F23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CFEC8601"/>
    <w:multiLevelType w:val="singleLevel"/>
    <w:tmpl w:val="CFEC860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CFF25AC6"/>
    <w:multiLevelType w:val="singleLevel"/>
    <w:tmpl w:val="CFF25A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CFFC0EE1"/>
    <w:multiLevelType w:val="singleLevel"/>
    <w:tmpl w:val="CFFC0EE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D3D7E27F"/>
    <w:multiLevelType w:val="singleLevel"/>
    <w:tmpl w:val="D3D7E2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D3DFC356"/>
    <w:multiLevelType w:val="singleLevel"/>
    <w:tmpl w:val="D3DFC3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D67E5795"/>
    <w:multiLevelType w:val="singleLevel"/>
    <w:tmpl w:val="D67E57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D7B2FCDA"/>
    <w:multiLevelType w:val="singleLevel"/>
    <w:tmpl w:val="D7B2FCD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D7DE3650"/>
    <w:multiLevelType w:val="singleLevel"/>
    <w:tmpl w:val="D7DE36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D7F6CF6E"/>
    <w:multiLevelType w:val="singleLevel"/>
    <w:tmpl w:val="D7F6C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D7FA867F"/>
    <w:multiLevelType w:val="singleLevel"/>
    <w:tmpl w:val="D7FA86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D7FB2D8C"/>
    <w:multiLevelType w:val="singleLevel"/>
    <w:tmpl w:val="D7FB2D8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D8DDCCD1"/>
    <w:multiLevelType w:val="singleLevel"/>
    <w:tmpl w:val="D8DDCCD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DBF743FD"/>
    <w:multiLevelType w:val="singleLevel"/>
    <w:tmpl w:val="DBF743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DCFD4D4F"/>
    <w:multiLevelType w:val="singleLevel"/>
    <w:tmpl w:val="DCFD4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DCFE4ACA"/>
    <w:multiLevelType w:val="singleLevel"/>
    <w:tmpl w:val="DCFE4A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DDDBB462"/>
    <w:multiLevelType w:val="singleLevel"/>
    <w:tmpl w:val="DDDBB4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DDDC5C8F"/>
    <w:multiLevelType w:val="singleLevel"/>
    <w:tmpl w:val="DDDC5C8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DE5B148B"/>
    <w:multiLevelType w:val="singleLevel"/>
    <w:tmpl w:val="DE5B14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DE5FF8B5"/>
    <w:multiLevelType w:val="singleLevel"/>
    <w:tmpl w:val="DE5FF8B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DEAE4F6A"/>
    <w:multiLevelType w:val="singleLevel"/>
    <w:tmpl w:val="DEAE4F6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9">
    <w:nsid w:val="DEEBF0AC"/>
    <w:multiLevelType w:val="singleLevel"/>
    <w:tmpl w:val="DEEBF0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DEEE5011"/>
    <w:multiLevelType w:val="singleLevel"/>
    <w:tmpl w:val="DEEE50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DEFFC7C1"/>
    <w:multiLevelType w:val="singleLevel"/>
    <w:tmpl w:val="DEFFC7C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DF6F04E9"/>
    <w:multiLevelType w:val="singleLevel"/>
    <w:tmpl w:val="DF6F04E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DF9FCCC3"/>
    <w:multiLevelType w:val="singleLevel"/>
    <w:tmpl w:val="DF9FCCC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4">
    <w:nsid w:val="DFBF45C2"/>
    <w:multiLevelType w:val="singleLevel"/>
    <w:tmpl w:val="DFBF45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DFD4F486"/>
    <w:multiLevelType w:val="singleLevel"/>
    <w:tmpl w:val="DFD4F4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6">
    <w:nsid w:val="DFDE2561"/>
    <w:multiLevelType w:val="singleLevel"/>
    <w:tmpl w:val="DFDE256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DFF5DC9A"/>
    <w:multiLevelType w:val="singleLevel"/>
    <w:tmpl w:val="DFF5DC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DFFE7B25"/>
    <w:multiLevelType w:val="singleLevel"/>
    <w:tmpl w:val="DFFE7B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DFFEC3BD"/>
    <w:multiLevelType w:val="singleLevel"/>
    <w:tmpl w:val="DFFEC3B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0">
    <w:nsid w:val="E7F5B988"/>
    <w:multiLevelType w:val="singleLevel"/>
    <w:tmpl w:val="E7F5B9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E7FDBDC0"/>
    <w:multiLevelType w:val="singleLevel"/>
    <w:tmpl w:val="E7FDBD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E8DF6210"/>
    <w:multiLevelType w:val="singleLevel"/>
    <w:tmpl w:val="E8DF62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E9EA8ADB"/>
    <w:multiLevelType w:val="singleLevel"/>
    <w:tmpl w:val="E9EA8A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E9FF4B52"/>
    <w:multiLevelType w:val="singleLevel"/>
    <w:tmpl w:val="E9FF4B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EA3D704C"/>
    <w:multiLevelType w:val="singleLevel"/>
    <w:tmpl w:val="EA3D70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EA7E0AD2"/>
    <w:multiLevelType w:val="singleLevel"/>
    <w:tmpl w:val="EA7E0A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EAAFDBBA"/>
    <w:multiLevelType w:val="singleLevel"/>
    <w:tmpl w:val="EAAFDB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ABE6805"/>
    <w:multiLevelType w:val="singleLevel"/>
    <w:tmpl w:val="EABE680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EAFEF0FF"/>
    <w:multiLevelType w:val="singleLevel"/>
    <w:tmpl w:val="EAFEF0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B336D1E"/>
    <w:multiLevelType w:val="singleLevel"/>
    <w:tmpl w:val="EB336D1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1">
    <w:nsid w:val="EBB972DC"/>
    <w:multiLevelType w:val="singleLevel"/>
    <w:tmpl w:val="EBB972D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2">
    <w:nsid w:val="ECC0EBC5"/>
    <w:multiLevelType w:val="singleLevel"/>
    <w:tmpl w:val="ECC0EB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DBF6BC6"/>
    <w:multiLevelType w:val="singleLevel"/>
    <w:tmpl w:val="EDBF6BC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EDEEB3F9"/>
    <w:multiLevelType w:val="singleLevel"/>
    <w:tmpl w:val="EDEEB3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EDEFAADC"/>
    <w:multiLevelType w:val="singleLevel"/>
    <w:tmpl w:val="EDEFAA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EDF7D982"/>
    <w:multiLevelType w:val="singleLevel"/>
    <w:tmpl w:val="EDF7D9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EDFEFF24"/>
    <w:multiLevelType w:val="singleLevel"/>
    <w:tmpl w:val="EDFEFF2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EEF6314A"/>
    <w:multiLevelType w:val="singleLevel"/>
    <w:tmpl w:val="EEF6314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EF6EFA5D"/>
    <w:multiLevelType w:val="singleLevel"/>
    <w:tmpl w:val="EF6EFA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EFAD53F1"/>
    <w:multiLevelType w:val="singleLevel"/>
    <w:tmpl w:val="EFAD53F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1">
    <w:nsid w:val="EFEFE40B"/>
    <w:multiLevelType w:val="singleLevel"/>
    <w:tmpl w:val="EFEFE4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EFF27B7A"/>
    <w:multiLevelType w:val="singleLevel"/>
    <w:tmpl w:val="EFF27B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EFFA9410"/>
    <w:multiLevelType w:val="singleLevel"/>
    <w:tmpl w:val="EFFA941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EFFE9723"/>
    <w:multiLevelType w:val="singleLevel"/>
    <w:tmpl w:val="EFFE97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EFFF976D"/>
    <w:multiLevelType w:val="singleLevel"/>
    <w:tmpl w:val="EFFF97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EFFFE094"/>
    <w:multiLevelType w:val="singleLevel"/>
    <w:tmpl w:val="EFFFE0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F0BA1FAD"/>
    <w:multiLevelType w:val="singleLevel"/>
    <w:tmpl w:val="F0BA1FA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F1F5D8A0"/>
    <w:multiLevelType w:val="singleLevel"/>
    <w:tmpl w:val="F1F5D8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F31FBE19"/>
    <w:multiLevelType w:val="singleLevel"/>
    <w:tmpl w:val="F31FBE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35887D6"/>
    <w:multiLevelType w:val="singleLevel"/>
    <w:tmpl w:val="F35887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3F7E9A2"/>
    <w:multiLevelType w:val="singleLevel"/>
    <w:tmpl w:val="F3F7E9A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F4B74E4B"/>
    <w:multiLevelType w:val="singleLevel"/>
    <w:tmpl w:val="F4B74E4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3">
    <w:nsid w:val="F4E4B8DE"/>
    <w:multiLevelType w:val="singleLevel"/>
    <w:tmpl w:val="F4E4B8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59E981F"/>
    <w:multiLevelType w:val="singleLevel"/>
    <w:tmpl w:val="F59E981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F67E945A"/>
    <w:multiLevelType w:val="singleLevel"/>
    <w:tmpl w:val="F67E94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6EDE706"/>
    <w:multiLevelType w:val="singleLevel"/>
    <w:tmpl w:val="F6EDE7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6F39D06"/>
    <w:multiLevelType w:val="singleLevel"/>
    <w:tmpl w:val="F6F39D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F776BC91"/>
    <w:multiLevelType w:val="singleLevel"/>
    <w:tmpl w:val="F776BC9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F77B9FC7"/>
    <w:multiLevelType w:val="singleLevel"/>
    <w:tmpl w:val="F77B9F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77D2C96"/>
    <w:multiLevelType w:val="singleLevel"/>
    <w:tmpl w:val="F77D2C9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1">
    <w:nsid w:val="F77D4674"/>
    <w:multiLevelType w:val="singleLevel"/>
    <w:tmpl w:val="F77D46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2">
    <w:nsid w:val="F79792E7"/>
    <w:multiLevelType w:val="singleLevel"/>
    <w:tmpl w:val="F79792E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F7BEA381"/>
    <w:multiLevelType w:val="singleLevel"/>
    <w:tmpl w:val="F7BEA3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4">
    <w:nsid w:val="F7D85B94"/>
    <w:multiLevelType w:val="singleLevel"/>
    <w:tmpl w:val="F7D85B9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F7FDC127"/>
    <w:multiLevelType w:val="singleLevel"/>
    <w:tmpl w:val="F7FDC1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F7FFE447"/>
    <w:multiLevelType w:val="singleLevel"/>
    <w:tmpl w:val="F7FFE4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7">
    <w:nsid w:val="F97F1A04"/>
    <w:multiLevelType w:val="singleLevel"/>
    <w:tmpl w:val="F97F1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F997B9AE"/>
    <w:multiLevelType w:val="singleLevel"/>
    <w:tmpl w:val="F997B9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F9DFBBB3"/>
    <w:multiLevelType w:val="singleLevel"/>
    <w:tmpl w:val="F9DFBB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F9E8ECD8"/>
    <w:multiLevelType w:val="singleLevel"/>
    <w:tmpl w:val="F9E8EC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FA6E3F64"/>
    <w:multiLevelType w:val="singleLevel"/>
    <w:tmpl w:val="FA6E3F6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2">
    <w:nsid w:val="FB3F4560"/>
    <w:multiLevelType w:val="singleLevel"/>
    <w:tmpl w:val="FB3F456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FB7ECD82"/>
    <w:multiLevelType w:val="singleLevel"/>
    <w:tmpl w:val="FB7ECD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4">
    <w:nsid w:val="FB7FEB12"/>
    <w:multiLevelType w:val="singleLevel"/>
    <w:tmpl w:val="FB7FEB1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FBDD65B8"/>
    <w:multiLevelType w:val="singleLevel"/>
    <w:tmpl w:val="FBDD65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FBEFA815"/>
    <w:multiLevelType w:val="singleLevel"/>
    <w:tmpl w:val="FBEFA8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7">
    <w:nsid w:val="FBF47E82"/>
    <w:multiLevelType w:val="singleLevel"/>
    <w:tmpl w:val="FBF47E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FBFBA9E3"/>
    <w:multiLevelType w:val="singleLevel"/>
    <w:tmpl w:val="FBFBA9E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FBFBE05D"/>
    <w:multiLevelType w:val="singleLevel"/>
    <w:tmpl w:val="FBFBE0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FC52D787"/>
    <w:multiLevelType w:val="singleLevel"/>
    <w:tmpl w:val="FC52D7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FCBE54CC"/>
    <w:multiLevelType w:val="singleLevel"/>
    <w:tmpl w:val="FCBE54C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2">
    <w:nsid w:val="FCDE0550"/>
    <w:multiLevelType w:val="singleLevel"/>
    <w:tmpl w:val="FCDE05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FD5EB2D5"/>
    <w:multiLevelType w:val="singleLevel"/>
    <w:tmpl w:val="FD5EB2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FD7495E8"/>
    <w:multiLevelType w:val="singleLevel"/>
    <w:tmpl w:val="FD7495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5">
    <w:nsid w:val="FDAC0B31"/>
    <w:multiLevelType w:val="singleLevel"/>
    <w:tmpl w:val="FDAC0B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FDBEBB20"/>
    <w:multiLevelType w:val="singleLevel"/>
    <w:tmpl w:val="FDBEBB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FDEE513E"/>
    <w:multiLevelType w:val="singleLevel"/>
    <w:tmpl w:val="FDEE51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FE50D16F"/>
    <w:multiLevelType w:val="singleLevel"/>
    <w:tmpl w:val="FE50D1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9">
    <w:nsid w:val="FE9E4A78"/>
    <w:multiLevelType w:val="singleLevel"/>
    <w:tmpl w:val="FE9E4A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FEB9C2F3"/>
    <w:multiLevelType w:val="singleLevel"/>
    <w:tmpl w:val="FEB9C2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FECEC848"/>
    <w:multiLevelType w:val="singleLevel"/>
    <w:tmpl w:val="FECEC8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FED5E455"/>
    <w:multiLevelType w:val="singleLevel"/>
    <w:tmpl w:val="FED5E45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3">
    <w:nsid w:val="FEDEC813"/>
    <w:multiLevelType w:val="singleLevel"/>
    <w:tmpl w:val="FEDEC8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FEE2C8CE"/>
    <w:multiLevelType w:val="singleLevel"/>
    <w:tmpl w:val="FEE2C8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5">
    <w:nsid w:val="FEECD5E5"/>
    <w:multiLevelType w:val="singleLevel"/>
    <w:tmpl w:val="FEECD5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FEEEC04F"/>
    <w:multiLevelType w:val="singleLevel"/>
    <w:tmpl w:val="FEEEC0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7">
    <w:nsid w:val="FEFA411B"/>
    <w:multiLevelType w:val="singleLevel"/>
    <w:tmpl w:val="FEFA41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8">
    <w:nsid w:val="FEFE886D"/>
    <w:multiLevelType w:val="singleLevel"/>
    <w:tmpl w:val="FEFE88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FF2C967B"/>
    <w:multiLevelType w:val="singleLevel"/>
    <w:tmpl w:val="FF2C96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FF3BB3C7"/>
    <w:multiLevelType w:val="singleLevel"/>
    <w:tmpl w:val="FF3BB3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FF6518E4"/>
    <w:multiLevelType w:val="singleLevel"/>
    <w:tmpl w:val="FF6518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FF6E592B"/>
    <w:multiLevelType w:val="singleLevel"/>
    <w:tmpl w:val="FF6E592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3">
    <w:nsid w:val="FF7E7727"/>
    <w:multiLevelType w:val="singleLevel"/>
    <w:tmpl w:val="FF7E772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4">
    <w:nsid w:val="FF7F812A"/>
    <w:multiLevelType w:val="singleLevel"/>
    <w:tmpl w:val="FF7F81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FF7FF17A"/>
    <w:multiLevelType w:val="singleLevel"/>
    <w:tmpl w:val="FF7FF1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6">
    <w:nsid w:val="FF9BEE6F"/>
    <w:multiLevelType w:val="singleLevel"/>
    <w:tmpl w:val="FF9BEE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7">
    <w:nsid w:val="FF9C31EC"/>
    <w:multiLevelType w:val="singleLevel"/>
    <w:tmpl w:val="FF9C31E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FFAEFBC1"/>
    <w:multiLevelType w:val="singleLevel"/>
    <w:tmpl w:val="FFAEFB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FFB7B5D2"/>
    <w:multiLevelType w:val="singleLevel"/>
    <w:tmpl w:val="FFB7B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FFBD45DC"/>
    <w:multiLevelType w:val="singleLevel"/>
    <w:tmpl w:val="FFBD45D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1">
    <w:nsid w:val="FFBF8D05"/>
    <w:multiLevelType w:val="singleLevel"/>
    <w:tmpl w:val="FFBF8D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FFCAA956"/>
    <w:multiLevelType w:val="singleLevel"/>
    <w:tmpl w:val="FFCAA9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FFD69130"/>
    <w:multiLevelType w:val="singleLevel"/>
    <w:tmpl w:val="FFD691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FFDDFE22"/>
    <w:multiLevelType w:val="singleLevel"/>
    <w:tmpl w:val="FFDDFE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FFF3B626"/>
    <w:multiLevelType w:val="singleLevel"/>
    <w:tmpl w:val="FFF3B6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6">
    <w:nsid w:val="FFF40AD6"/>
    <w:multiLevelType w:val="singleLevel"/>
    <w:tmpl w:val="FFF40A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7">
    <w:nsid w:val="FFF4FF18"/>
    <w:multiLevelType w:val="singleLevel"/>
    <w:tmpl w:val="FFF4FF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8">
    <w:nsid w:val="FFF58631"/>
    <w:multiLevelType w:val="singleLevel"/>
    <w:tmpl w:val="FFF586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9">
    <w:nsid w:val="FFF6B70F"/>
    <w:multiLevelType w:val="singleLevel"/>
    <w:tmpl w:val="FFF6B7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FFF72562"/>
    <w:multiLevelType w:val="singleLevel"/>
    <w:tmpl w:val="FFF7256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1">
    <w:nsid w:val="FFF83A9A"/>
    <w:multiLevelType w:val="singleLevel"/>
    <w:tmpl w:val="FFF83A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FFF96ACD"/>
    <w:multiLevelType w:val="singleLevel"/>
    <w:tmpl w:val="FFF96A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FFFBB435"/>
    <w:multiLevelType w:val="singleLevel"/>
    <w:tmpl w:val="FFFBB4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4">
    <w:nsid w:val="FFFE0F91"/>
    <w:multiLevelType w:val="singleLevel"/>
    <w:tmpl w:val="FFFE0F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FFFE2355"/>
    <w:multiLevelType w:val="singleLevel"/>
    <w:tmpl w:val="FFFE235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6">
    <w:nsid w:val="FFFE820B"/>
    <w:multiLevelType w:val="singleLevel"/>
    <w:tmpl w:val="FFFE82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FFFE9220"/>
    <w:multiLevelType w:val="singleLevel"/>
    <w:tmpl w:val="FFFE92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FFFEA920"/>
    <w:multiLevelType w:val="singleLevel"/>
    <w:tmpl w:val="FFFEA9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9">
    <w:nsid w:val="FFFECC98"/>
    <w:multiLevelType w:val="singleLevel"/>
    <w:tmpl w:val="FFFECC9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0">
    <w:nsid w:val="FFFED73B"/>
    <w:multiLevelType w:val="singleLevel"/>
    <w:tmpl w:val="FFFED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1">
    <w:nsid w:val="FFFEDB81"/>
    <w:multiLevelType w:val="singleLevel"/>
    <w:tmpl w:val="FFFEDB8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2">
    <w:nsid w:val="FFFEE239"/>
    <w:multiLevelType w:val="singleLevel"/>
    <w:tmpl w:val="FFFEE23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3">
    <w:nsid w:val="FFFEF12F"/>
    <w:multiLevelType w:val="singleLevel"/>
    <w:tmpl w:val="FFFEF1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FFFF00F8"/>
    <w:multiLevelType w:val="singleLevel"/>
    <w:tmpl w:val="FFFF00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17F26D9F"/>
    <w:multiLevelType w:val="singleLevel"/>
    <w:tmpl w:val="17F26D9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6">
    <w:nsid w:val="1FF66431"/>
    <w:multiLevelType w:val="singleLevel"/>
    <w:tmpl w:val="1FF6643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23FC66D8"/>
    <w:multiLevelType w:val="singleLevel"/>
    <w:tmpl w:val="23FC66D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27BC5B8E"/>
    <w:multiLevelType w:val="singleLevel"/>
    <w:tmpl w:val="27BC5B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2CF64966"/>
    <w:multiLevelType w:val="singleLevel"/>
    <w:tmpl w:val="2CF649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0">
    <w:nsid w:val="2DEE065C"/>
    <w:multiLevelType w:val="singleLevel"/>
    <w:tmpl w:val="2DEE06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2DFA390B"/>
    <w:multiLevelType w:val="singleLevel"/>
    <w:tmpl w:val="2DFA39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2">
    <w:nsid w:val="2FCE863B"/>
    <w:multiLevelType w:val="singleLevel"/>
    <w:tmpl w:val="2FCE86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3">
    <w:nsid w:val="36FBCF3A"/>
    <w:multiLevelType w:val="singleLevel"/>
    <w:tmpl w:val="36FBCF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37ECCD14"/>
    <w:multiLevelType w:val="singleLevel"/>
    <w:tmpl w:val="37ECCD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39D8AA93"/>
    <w:multiLevelType w:val="singleLevel"/>
    <w:tmpl w:val="39D8AA9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6">
    <w:nsid w:val="3BFE3CDE"/>
    <w:multiLevelType w:val="singleLevel"/>
    <w:tmpl w:val="3BFE3C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3BFF4340"/>
    <w:multiLevelType w:val="singleLevel"/>
    <w:tmpl w:val="3BFF43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8">
    <w:nsid w:val="3F1F5A6C"/>
    <w:multiLevelType w:val="singleLevel"/>
    <w:tmpl w:val="3F1F5A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3FAF50C8"/>
    <w:multiLevelType w:val="singleLevel"/>
    <w:tmpl w:val="3FAF50C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0">
    <w:nsid w:val="3FBB7594"/>
    <w:multiLevelType w:val="singleLevel"/>
    <w:tmpl w:val="3FBB759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1">
    <w:nsid w:val="3FF1E4D6"/>
    <w:multiLevelType w:val="singleLevel"/>
    <w:tmpl w:val="3FF1E4D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2">
    <w:nsid w:val="4F4BA0AA"/>
    <w:multiLevelType w:val="singleLevel"/>
    <w:tmpl w:val="4F4BA0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4FF7A5CF"/>
    <w:multiLevelType w:val="singleLevel"/>
    <w:tmpl w:val="4FF7A5C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4">
    <w:nsid w:val="53ED2C66"/>
    <w:multiLevelType w:val="singleLevel"/>
    <w:tmpl w:val="53ED2C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5">
    <w:nsid w:val="55FF8B1E"/>
    <w:multiLevelType w:val="singleLevel"/>
    <w:tmpl w:val="55FF8B1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6">
    <w:nsid w:val="58965E80"/>
    <w:multiLevelType w:val="singleLevel"/>
    <w:tmpl w:val="58965E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7">
    <w:nsid w:val="5AF54BB0"/>
    <w:multiLevelType w:val="singleLevel"/>
    <w:tmpl w:val="5AF54B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5BCF949C"/>
    <w:multiLevelType w:val="singleLevel"/>
    <w:tmpl w:val="5BCF949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9">
    <w:nsid w:val="5DFEC1B9"/>
    <w:multiLevelType w:val="singleLevel"/>
    <w:tmpl w:val="5DFEC1B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0">
    <w:nsid w:val="5DFEF8CF"/>
    <w:multiLevelType w:val="singleLevel"/>
    <w:tmpl w:val="5DFEF8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5EBE23BD"/>
    <w:multiLevelType w:val="singleLevel"/>
    <w:tmpl w:val="5EBE23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5EEDB394"/>
    <w:multiLevelType w:val="singleLevel"/>
    <w:tmpl w:val="5EEDB3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5EFE0743"/>
    <w:multiLevelType w:val="singleLevel"/>
    <w:tmpl w:val="5EFE0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5F1F853D"/>
    <w:multiLevelType w:val="singleLevel"/>
    <w:tmpl w:val="5F1F853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5">
    <w:nsid w:val="5F57E054"/>
    <w:multiLevelType w:val="singleLevel"/>
    <w:tmpl w:val="5F57E0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6">
    <w:nsid w:val="5F9B3D79"/>
    <w:multiLevelType w:val="singleLevel"/>
    <w:tmpl w:val="5F9B3D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7">
    <w:nsid w:val="5FFEF870"/>
    <w:multiLevelType w:val="singleLevel"/>
    <w:tmpl w:val="5FFEF8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65FDDE40"/>
    <w:multiLevelType w:val="singleLevel"/>
    <w:tmpl w:val="65FDDE4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9">
    <w:nsid w:val="67DE128E"/>
    <w:multiLevelType w:val="singleLevel"/>
    <w:tmpl w:val="67DE12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6D7DE930"/>
    <w:multiLevelType w:val="singleLevel"/>
    <w:tmpl w:val="6D7DE9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6EAA4885"/>
    <w:multiLevelType w:val="singleLevel"/>
    <w:tmpl w:val="6EAA488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2">
    <w:nsid w:val="6F5BD483"/>
    <w:multiLevelType w:val="singleLevel"/>
    <w:tmpl w:val="6F5BD4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3">
    <w:nsid w:val="6F75B119"/>
    <w:multiLevelType w:val="singleLevel"/>
    <w:tmpl w:val="6F75B11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4">
    <w:nsid w:val="6F8EE269"/>
    <w:multiLevelType w:val="singleLevel"/>
    <w:tmpl w:val="6F8EE26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5">
    <w:nsid w:val="6FDF947E"/>
    <w:multiLevelType w:val="singleLevel"/>
    <w:tmpl w:val="6FDF947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6">
    <w:nsid w:val="6FEADE8E"/>
    <w:multiLevelType w:val="singleLevel"/>
    <w:tmpl w:val="6FEADE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7">
    <w:nsid w:val="6FFC2F98"/>
    <w:multiLevelType w:val="singleLevel"/>
    <w:tmpl w:val="6FFC2F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71F51460"/>
    <w:multiLevelType w:val="singleLevel"/>
    <w:tmpl w:val="71F5146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9">
    <w:nsid w:val="75F4C6FE"/>
    <w:multiLevelType w:val="singleLevel"/>
    <w:tmpl w:val="75F4C6F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0">
    <w:nsid w:val="76F2D86E"/>
    <w:multiLevelType w:val="singleLevel"/>
    <w:tmpl w:val="76F2D8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1">
    <w:nsid w:val="7767A353"/>
    <w:multiLevelType w:val="singleLevel"/>
    <w:tmpl w:val="7767A3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2">
    <w:nsid w:val="7771362E"/>
    <w:multiLevelType w:val="singleLevel"/>
    <w:tmpl w:val="777136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777FAB1F"/>
    <w:multiLevelType w:val="singleLevel"/>
    <w:tmpl w:val="777FAB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77F61E33"/>
    <w:multiLevelType w:val="singleLevel"/>
    <w:tmpl w:val="77F61E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5">
    <w:nsid w:val="79D6A56F"/>
    <w:multiLevelType w:val="singleLevel"/>
    <w:tmpl w:val="79D6A56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6">
    <w:nsid w:val="7AE9BFB1"/>
    <w:multiLevelType w:val="singleLevel"/>
    <w:tmpl w:val="7AE9BF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7AFFF02D"/>
    <w:multiLevelType w:val="singleLevel"/>
    <w:tmpl w:val="7AFFF0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8">
    <w:nsid w:val="7D4616D5"/>
    <w:multiLevelType w:val="singleLevel"/>
    <w:tmpl w:val="7D4616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9">
    <w:nsid w:val="7DFECD0C"/>
    <w:multiLevelType w:val="singleLevel"/>
    <w:tmpl w:val="7DFECD0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0">
    <w:nsid w:val="7E7673C4"/>
    <w:multiLevelType w:val="singleLevel"/>
    <w:tmpl w:val="7E7673C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1">
    <w:nsid w:val="7EBF374D"/>
    <w:multiLevelType w:val="singleLevel"/>
    <w:tmpl w:val="7EBF37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2">
    <w:nsid w:val="7EFC807A"/>
    <w:multiLevelType w:val="singleLevel"/>
    <w:tmpl w:val="7EFC80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3">
    <w:nsid w:val="7EFE64F4"/>
    <w:multiLevelType w:val="singleLevel"/>
    <w:tmpl w:val="7EFE64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7EFF0774"/>
    <w:multiLevelType w:val="singleLevel"/>
    <w:tmpl w:val="7EFF077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5">
    <w:nsid w:val="7F5F8E19"/>
    <w:multiLevelType w:val="singleLevel"/>
    <w:tmpl w:val="7F5F8E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6">
    <w:nsid w:val="7F679B4C"/>
    <w:multiLevelType w:val="singleLevel"/>
    <w:tmpl w:val="7F679B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7">
    <w:nsid w:val="7FEE1262"/>
    <w:multiLevelType w:val="singleLevel"/>
    <w:tmpl w:val="7FEE12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7FFC0B61"/>
    <w:multiLevelType w:val="singleLevel"/>
    <w:tmpl w:val="7FFC0B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9">
    <w:nsid w:val="7FFED6D9"/>
    <w:multiLevelType w:val="singleLevel"/>
    <w:tmpl w:val="7FFED6D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0"/>
  </w:num>
  <w:num w:numId="2">
    <w:abstractNumId w:val="28"/>
  </w:num>
  <w:num w:numId="3">
    <w:abstractNumId w:val="128"/>
  </w:num>
  <w:num w:numId="4">
    <w:abstractNumId w:val="64"/>
  </w:num>
  <w:num w:numId="5">
    <w:abstractNumId w:val="15"/>
  </w:num>
  <w:num w:numId="6">
    <w:abstractNumId w:val="81"/>
  </w:num>
  <w:num w:numId="7">
    <w:abstractNumId w:val="149"/>
  </w:num>
  <w:num w:numId="8">
    <w:abstractNumId w:val="110"/>
  </w:num>
  <w:num w:numId="9">
    <w:abstractNumId w:val="42"/>
  </w:num>
  <w:num w:numId="10">
    <w:abstractNumId w:val="232"/>
  </w:num>
  <w:num w:numId="11">
    <w:abstractNumId w:val="225"/>
  </w:num>
  <w:num w:numId="12">
    <w:abstractNumId w:val="208"/>
  </w:num>
  <w:num w:numId="13">
    <w:abstractNumId w:val="144"/>
  </w:num>
  <w:num w:numId="14">
    <w:abstractNumId w:val="166"/>
  </w:num>
  <w:num w:numId="15">
    <w:abstractNumId w:val="222"/>
  </w:num>
  <w:num w:numId="16">
    <w:abstractNumId w:val="47"/>
  </w:num>
  <w:num w:numId="17">
    <w:abstractNumId w:val="159"/>
  </w:num>
  <w:num w:numId="18">
    <w:abstractNumId w:val="226"/>
  </w:num>
  <w:num w:numId="19">
    <w:abstractNumId w:val="172"/>
  </w:num>
  <w:num w:numId="20">
    <w:abstractNumId w:val="115"/>
  </w:num>
  <w:num w:numId="21">
    <w:abstractNumId w:val="251"/>
  </w:num>
  <w:num w:numId="22">
    <w:abstractNumId w:val="112"/>
  </w:num>
  <w:num w:numId="23">
    <w:abstractNumId w:val="73"/>
  </w:num>
  <w:num w:numId="24">
    <w:abstractNumId w:val="243"/>
  </w:num>
  <w:num w:numId="25">
    <w:abstractNumId w:val="216"/>
  </w:num>
  <w:num w:numId="26">
    <w:abstractNumId w:val="209"/>
  </w:num>
  <w:num w:numId="27">
    <w:abstractNumId w:val="63"/>
  </w:num>
  <w:num w:numId="28">
    <w:abstractNumId w:val="167"/>
  </w:num>
  <w:num w:numId="29">
    <w:abstractNumId w:val="97"/>
  </w:num>
  <w:num w:numId="30">
    <w:abstractNumId w:val="111"/>
  </w:num>
  <w:num w:numId="31">
    <w:abstractNumId w:val="55"/>
  </w:num>
  <w:num w:numId="32">
    <w:abstractNumId w:val="257"/>
  </w:num>
  <w:num w:numId="33">
    <w:abstractNumId w:val="70"/>
  </w:num>
  <w:num w:numId="34">
    <w:abstractNumId w:val="125"/>
  </w:num>
  <w:num w:numId="35">
    <w:abstractNumId w:val="229"/>
  </w:num>
  <w:num w:numId="36">
    <w:abstractNumId w:val="40"/>
  </w:num>
  <w:num w:numId="37">
    <w:abstractNumId w:val="193"/>
  </w:num>
  <w:num w:numId="38">
    <w:abstractNumId w:val="194"/>
  </w:num>
  <w:num w:numId="39">
    <w:abstractNumId w:val="48"/>
  </w:num>
  <w:num w:numId="40">
    <w:abstractNumId w:val="127"/>
  </w:num>
  <w:num w:numId="41">
    <w:abstractNumId w:val="116"/>
  </w:num>
  <w:num w:numId="42">
    <w:abstractNumId w:val="156"/>
  </w:num>
  <w:num w:numId="43">
    <w:abstractNumId w:val="234"/>
  </w:num>
  <w:num w:numId="44">
    <w:abstractNumId w:val="8"/>
  </w:num>
  <w:num w:numId="45">
    <w:abstractNumId w:val="105"/>
  </w:num>
  <w:num w:numId="46">
    <w:abstractNumId w:val="178"/>
  </w:num>
  <w:num w:numId="47">
    <w:abstractNumId w:val="45"/>
  </w:num>
  <w:num w:numId="48">
    <w:abstractNumId w:val="74"/>
  </w:num>
  <w:num w:numId="49">
    <w:abstractNumId w:val="56"/>
  </w:num>
  <w:num w:numId="50">
    <w:abstractNumId w:val="150"/>
  </w:num>
  <w:num w:numId="51">
    <w:abstractNumId w:val="34"/>
  </w:num>
  <w:num w:numId="52">
    <w:abstractNumId w:val="0"/>
  </w:num>
  <w:num w:numId="53">
    <w:abstractNumId w:val="100"/>
  </w:num>
  <w:num w:numId="54">
    <w:abstractNumId w:val="198"/>
  </w:num>
  <w:num w:numId="55">
    <w:abstractNumId w:val="113"/>
  </w:num>
  <w:num w:numId="56">
    <w:abstractNumId w:val="76"/>
  </w:num>
  <w:num w:numId="57">
    <w:abstractNumId w:val="176"/>
  </w:num>
  <w:num w:numId="58">
    <w:abstractNumId w:val="3"/>
  </w:num>
  <w:num w:numId="59">
    <w:abstractNumId w:val="32"/>
  </w:num>
  <w:num w:numId="60">
    <w:abstractNumId w:val="33"/>
  </w:num>
  <w:num w:numId="61">
    <w:abstractNumId w:val="146"/>
  </w:num>
  <w:num w:numId="62">
    <w:abstractNumId w:val="184"/>
  </w:num>
  <w:num w:numId="63">
    <w:abstractNumId w:val="258"/>
  </w:num>
  <w:num w:numId="64">
    <w:abstractNumId w:val="66"/>
  </w:num>
  <w:num w:numId="65">
    <w:abstractNumId w:val="187"/>
  </w:num>
  <w:num w:numId="66">
    <w:abstractNumId w:val="227"/>
  </w:num>
  <w:num w:numId="67">
    <w:abstractNumId w:val="173"/>
  </w:num>
  <w:num w:numId="68">
    <w:abstractNumId w:val="221"/>
  </w:num>
  <w:num w:numId="69">
    <w:abstractNumId w:val="171"/>
  </w:num>
  <w:num w:numId="70">
    <w:abstractNumId w:val="140"/>
  </w:num>
  <w:num w:numId="71">
    <w:abstractNumId w:val="29"/>
  </w:num>
  <w:num w:numId="72">
    <w:abstractNumId w:val="237"/>
  </w:num>
  <w:num w:numId="73">
    <w:abstractNumId w:val="169"/>
  </w:num>
  <w:num w:numId="74">
    <w:abstractNumId w:val="138"/>
  </w:num>
  <w:num w:numId="75">
    <w:abstractNumId w:val="190"/>
  </w:num>
  <w:num w:numId="76">
    <w:abstractNumId w:val="12"/>
  </w:num>
  <w:num w:numId="77">
    <w:abstractNumId w:val="255"/>
  </w:num>
  <w:num w:numId="78">
    <w:abstractNumId w:val="188"/>
  </w:num>
  <w:num w:numId="79">
    <w:abstractNumId w:val="191"/>
  </w:num>
  <w:num w:numId="80">
    <w:abstractNumId w:val="39"/>
  </w:num>
  <w:num w:numId="81">
    <w:abstractNumId w:val="16"/>
  </w:num>
  <w:num w:numId="82">
    <w:abstractNumId w:val="87"/>
  </w:num>
  <w:num w:numId="83">
    <w:abstractNumId w:val="102"/>
  </w:num>
  <w:num w:numId="84">
    <w:abstractNumId w:val="17"/>
  </w:num>
  <w:num w:numId="85">
    <w:abstractNumId w:val="71"/>
  </w:num>
  <w:num w:numId="86">
    <w:abstractNumId w:val="99"/>
  </w:num>
  <w:num w:numId="87">
    <w:abstractNumId w:val="101"/>
  </w:num>
  <w:num w:numId="88">
    <w:abstractNumId w:val="212"/>
  </w:num>
  <w:num w:numId="89">
    <w:abstractNumId w:val="13"/>
  </w:num>
  <w:num w:numId="90">
    <w:abstractNumId w:val="158"/>
  </w:num>
  <w:num w:numId="91">
    <w:abstractNumId w:val="53"/>
  </w:num>
  <w:num w:numId="92">
    <w:abstractNumId w:val="155"/>
  </w:num>
  <w:num w:numId="93">
    <w:abstractNumId w:val="89"/>
  </w:num>
  <w:num w:numId="94">
    <w:abstractNumId w:val="236"/>
  </w:num>
  <w:num w:numId="95">
    <w:abstractNumId w:val="249"/>
  </w:num>
  <w:num w:numId="96">
    <w:abstractNumId w:val="61"/>
  </w:num>
  <w:num w:numId="97">
    <w:abstractNumId w:val="201"/>
  </w:num>
  <w:num w:numId="98">
    <w:abstractNumId w:val="207"/>
  </w:num>
  <w:num w:numId="99">
    <w:abstractNumId w:val="108"/>
  </w:num>
  <w:num w:numId="100">
    <w:abstractNumId w:val="141"/>
  </w:num>
  <w:num w:numId="101">
    <w:abstractNumId w:val="239"/>
  </w:num>
  <w:num w:numId="102">
    <w:abstractNumId w:val="248"/>
  </w:num>
  <w:num w:numId="103">
    <w:abstractNumId w:val="244"/>
  </w:num>
  <w:num w:numId="104">
    <w:abstractNumId w:val="88"/>
  </w:num>
  <w:num w:numId="105">
    <w:abstractNumId w:val="174"/>
  </w:num>
  <w:num w:numId="106">
    <w:abstractNumId w:val="177"/>
  </w:num>
  <w:num w:numId="107">
    <w:abstractNumId w:val="145"/>
  </w:num>
  <w:num w:numId="108">
    <w:abstractNumId w:val="9"/>
  </w:num>
  <w:num w:numId="109">
    <w:abstractNumId w:val="161"/>
  </w:num>
  <w:num w:numId="110">
    <w:abstractNumId w:val="118"/>
  </w:num>
  <w:num w:numId="111">
    <w:abstractNumId w:val="233"/>
  </w:num>
  <w:num w:numId="112">
    <w:abstractNumId w:val="52"/>
  </w:num>
  <w:num w:numId="113">
    <w:abstractNumId w:val="129"/>
  </w:num>
  <w:num w:numId="114">
    <w:abstractNumId w:val="25"/>
  </w:num>
  <w:num w:numId="115">
    <w:abstractNumId w:val="223"/>
  </w:num>
  <w:num w:numId="116">
    <w:abstractNumId w:val="245"/>
  </w:num>
  <w:num w:numId="117">
    <w:abstractNumId w:val="231"/>
  </w:num>
  <w:num w:numId="118">
    <w:abstractNumId w:val="179"/>
  </w:num>
  <w:num w:numId="119">
    <w:abstractNumId w:val="123"/>
  </w:num>
  <w:num w:numId="120">
    <w:abstractNumId w:val="6"/>
  </w:num>
  <w:num w:numId="121">
    <w:abstractNumId w:val="204"/>
  </w:num>
  <w:num w:numId="122">
    <w:abstractNumId w:val="253"/>
  </w:num>
  <w:num w:numId="123">
    <w:abstractNumId w:val="78"/>
  </w:num>
  <w:num w:numId="124">
    <w:abstractNumId w:val="165"/>
  </w:num>
  <w:num w:numId="125">
    <w:abstractNumId w:val="218"/>
  </w:num>
  <w:num w:numId="126">
    <w:abstractNumId w:val="67"/>
  </w:num>
  <w:num w:numId="127">
    <w:abstractNumId w:val="117"/>
  </w:num>
  <w:num w:numId="128">
    <w:abstractNumId w:val="50"/>
  </w:num>
  <w:num w:numId="129">
    <w:abstractNumId w:val="43"/>
  </w:num>
  <w:num w:numId="130">
    <w:abstractNumId w:val="62"/>
  </w:num>
  <w:num w:numId="131">
    <w:abstractNumId w:val="95"/>
  </w:num>
  <w:num w:numId="132">
    <w:abstractNumId w:val="109"/>
  </w:num>
  <w:num w:numId="133">
    <w:abstractNumId w:val="196"/>
  </w:num>
  <w:num w:numId="134">
    <w:abstractNumId w:val="152"/>
  </w:num>
  <w:num w:numId="135">
    <w:abstractNumId w:val="238"/>
  </w:num>
  <w:num w:numId="136">
    <w:abstractNumId w:val="162"/>
  </w:num>
  <w:num w:numId="137">
    <w:abstractNumId w:val="23"/>
  </w:num>
  <w:num w:numId="138">
    <w:abstractNumId w:val="5"/>
  </w:num>
  <w:num w:numId="139">
    <w:abstractNumId w:val="247"/>
  </w:num>
  <w:num w:numId="140">
    <w:abstractNumId w:val="183"/>
  </w:num>
  <w:num w:numId="141">
    <w:abstractNumId w:val="134"/>
  </w:num>
  <w:num w:numId="142">
    <w:abstractNumId w:val="154"/>
  </w:num>
  <w:num w:numId="143">
    <w:abstractNumId w:val="124"/>
  </w:num>
  <w:num w:numId="144">
    <w:abstractNumId w:val="75"/>
  </w:num>
  <w:num w:numId="145">
    <w:abstractNumId w:val="72"/>
  </w:num>
  <w:num w:numId="146">
    <w:abstractNumId w:val="240"/>
  </w:num>
  <w:num w:numId="147">
    <w:abstractNumId w:val="136"/>
  </w:num>
  <w:num w:numId="148">
    <w:abstractNumId w:val="175"/>
  </w:num>
  <w:num w:numId="149">
    <w:abstractNumId w:val="19"/>
  </w:num>
  <w:num w:numId="150">
    <w:abstractNumId w:val="242"/>
  </w:num>
  <w:num w:numId="151">
    <w:abstractNumId w:val="54"/>
  </w:num>
  <w:num w:numId="152">
    <w:abstractNumId w:val="114"/>
  </w:num>
  <w:num w:numId="153">
    <w:abstractNumId w:val="27"/>
  </w:num>
  <w:num w:numId="154">
    <w:abstractNumId w:val="77"/>
  </w:num>
  <w:num w:numId="155">
    <w:abstractNumId w:val="2"/>
  </w:num>
  <w:num w:numId="156">
    <w:abstractNumId w:val="18"/>
  </w:num>
  <w:num w:numId="157">
    <w:abstractNumId w:val="120"/>
  </w:num>
  <w:num w:numId="158">
    <w:abstractNumId w:val="91"/>
  </w:num>
  <w:num w:numId="159">
    <w:abstractNumId w:val="90"/>
  </w:num>
  <w:num w:numId="160">
    <w:abstractNumId w:val="79"/>
  </w:num>
  <w:num w:numId="161">
    <w:abstractNumId w:val="254"/>
  </w:num>
  <w:num w:numId="162">
    <w:abstractNumId w:val="133"/>
  </w:num>
  <w:num w:numId="163">
    <w:abstractNumId w:val="57"/>
  </w:num>
  <w:num w:numId="164">
    <w:abstractNumId w:val="37"/>
  </w:num>
  <w:num w:numId="165">
    <w:abstractNumId w:val="147"/>
  </w:num>
  <w:num w:numId="166">
    <w:abstractNumId w:val="182"/>
  </w:num>
  <w:num w:numId="167">
    <w:abstractNumId w:val="51"/>
  </w:num>
  <w:num w:numId="168">
    <w:abstractNumId w:val="164"/>
  </w:num>
  <w:num w:numId="169">
    <w:abstractNumId w:val="259"/>
  </w:num>
  <w:num w:numId="170">
    <w:abstractNumId w:val="1"/>
  </w:num>
  <w:num w:numId="171">
    <w:abstractNumId w:val="98"/>
  </w:num>
  <w:num w:numId="172">
    <w:abstractNumId w:val="60"/>
  </w:num>
  <w:num w:numId="173">
    <w:abstractNumId w:val="241"/>
  </w:num>
  <w:num w:numId="174">
    <w:abstractNumId w:val="104"/>
  </w:num>
  <w:num w:numId="175">
    <w:abstractNumId w:val="153"/>
  </w:num>
  <w:num w:numId="176">
    <w:abstractNumId w:val="38"/>
  </w:num>
  <w:num w:numId="177">
    <w:abstractNumId w:val="180"/>
  </w:num>
  <w:num w:numId="178">
    <w:abstractNumId w:val="137"/>
  </w:num>
  <w:num w:numId="179">
    <w:abstractNumId w:val="143"/>
  </w:num>
  <w:num w:numId="180">
    <w:abstractNumId w:val="181"/>
  </w:num>
  <w:num w:numId="181">
    <w:abstractNumId w:val="69"/>
  </w:num>
  <w:num w:numId="182">
    <w:abstractNumId w:val="85"/>
  </w:num>
  <w:num w:numId="183">
    <w:abstractNumId w:val="224"/>
  </w:num>
  <w:num w:numId="184">
    <w:abstractNumId w:val="199"/>
  </w:num>
  <w:num w:numId="185">
    <w:abstractNumId w:val="202"/>
  </w:num>
  <w:num w:numId="186">
    <w:abstractNumId w:val="44"/>
  </w:num>
  <w:num w:numId="187">
    <w:abstractNumId w:val="26"/>
  </w:num>
  <w:num w:numId="188">
    <w:abstractNumId w:val="21"/>
  </w:num>
  <w:num w:numId="189">
    <w:abstractNumId w:val="186"/>
  </w:num>
  <w:num w:numId="190">
    <w:abstractNumId w:val="68"/>
  </w:num>
  <w:num w:numId="191">
    <w:abstractNumId w:val="139"/>
  </w:num>
  <w:num w:numId="192">
    <w:abstractNumId w:val="168"/>
  </w:num>
  <w:num w:numId="193">
    <w:abstractNumId w:val="160"/>
  </w:num>
  <w:num w:numId="194">
    <w:abstractNumId w:val="220"/>
  </w:num>
  <w:num w:numId="195">
    <w:abstractNumId w:val="14"/>
  </w:num>
  <w:num w:numId="196">
    <w:abstractNumId w:val="7"/>
  </w:num>
  <w:num w:numId="197">
    <w:abstractNumId w:val="80"/>
  </w:num>
  <w:num w:numId="198">
    <w:abstractNumId w:val="24"/>
  </w:num>
  <w:num w:numId="199">
    <w:abstractNumId w:val="217"/>
  </w:num>
  <w:num w:numId="200">
    <w:abstractNumId w:val="36"/>
  </w:num>
  <w:num w:numId="201">
    <w:abstractNumId w:val="235"/>
  </w:num>
  <w:num w:numId="202">
    <w:abstractNumId w:val="130"/>
  </w:num>
  <w:num w:numId="203">
    <w:abstractNumId w:val="35"/>
  </w:num>
  <w:num w:numId="204">
    <w:abstractNumId w:val="205"/>
  </w:num>
  <w:num w:numId="205">
    <w:abstractNumId w:val="200"/>
  </w:num>
  <w:num w:numId="206">
    <w:abstractNumId w:val="151"/>
  </w:num>
  <w:num w:numId="207">
    <w:abstractNumId w:val="22"/>
  </w:num>
  <w:num w:numId="208">
    <w:abstractNumId w:val="126"/>
  </w:num>
  <w:num w:numId="209">
    <w:abstractNumId w:val="58"/>
  </w:num>
  <w:num w:numId="210">
    <w:abstractNumId w:val="157"/>
  </w:num>
  <w:num w:numId="211">
    <w:abstractNumId w:val="92"/>
  </w:num>
  <w:num w:numId="212">
    <w:abstractNumId w:val="148"/>
  </w:num>
  <w:num w:numId="213">
    <w:abstractNumId w:val="103"/>
  </w:num>
  <w:num w:numId="214">
    <w:abstractNumId w:val="132"/>
  </w:num>
  <w:num w:numId="215">
    <w:abstractNumId w:val="41"/>
  </w:num>
  <w:num w:numId="216">
    <w:abstractNumId w:val="206"/>
  </w:num>
  <w:num w:numId="217">
    <w:abstractNumId w:val="211"/>
  </w:num>
  <w:num w:numId="218">
    <w:abstractNumId w:val="4"/>
  </w:num>
  <w:num w:numId="219">
    <w:abstractNumId w:val="230"/>
  </w:num>
  <w:num w:numId="220">
    <w:abstractNumId w:val="106"/>
  </w:num>
  <w:num w:numId="221">
    <w:abstractNumId w:val="142"/>
  </w:num>
  <w:num w:numId="222">
    <w:abstractNumId w:val="94"/>
  </w:num>
  <w:num w:numId="223">
    <w:abstractNumId w:val="215"/>
  </w:num>
  <w:num w:numId="224">
    <w:abstractNumId w:val="197"/>
  </w:num>
  <w:num w:numId="225">
    <w:abstractNumId w:val="49"/>
  </w:num>
  <w:num w:numId="226">
    <w:abstractNumId w:val="135"/>
  </w:num>
  <w:num w:numId="227">
    <w:abstractNumId w:val="122"/>
  </w:num>
  <w:num w:numId="228">
    <w:abstractNumId w:val="10"/>
  </w:num>
  <w:num w:numId="229">
    <w:abstractNumId w:val="250"/>
  </w:num>
  <w:num w:numId="230">
    <w:abstractNumId w:val="256"/>
  </w:num>
  <w:num w:numId="231">
    <w:abstractNumId w:val="11"/>
  </w:num>
  <w:num w:numId="232">
    <w:abstractNumId w:val="246"/>
  </w:num>
  <w:num w:numId="233">
    <w:abstractNumId w:val="121"/>
  </w:num>
  <w:num w:numId="234">
    <w:abstractNumId w:val="59"/>
  </w:num>
  <w:num w:numId="235">
    <w:abstractNumId w:val="203"/>
  </w:num>
  <w:num w:numId="236">
    <w:abstractNumId w:val="189"/>
  </w:num>
  <w:num w:numId="237">
    <w:abstractNumId w:val="83"/>
  </w:num>
  <w:num w:numId="238">
    <w:abstractNumId w:val="46"/>
  </w:num>
  <w:num w:numId="239">
    <w:abstractNumId w:val="31"/>
  </w:num>
  <w:num w:numId="240">
    <w:abstractNumId w:val="192"/>
  </w:num>
  <w:num w:numId="241">
    <w:abstractNumId w:val="30"/>
  </w:num>
  <w:num w:numId="242">
    <w:abstractNumId w:val="252"/>
  </w:num>
  <w:num w:numId="243">
    <w:abstractNumId w:val="93"/>
  </w:num>
  <w:num w:numId="244">
    <w:abstractNumId w:val="219"/>
  </w:num>
  <w:num w:numId="245">
    <w:abstractNumId w:val="185"/>
  </w:num>
  <w:num w:numId="246">
    <w:abstractNumId w:val="119"/>
  </w:num>
  <w:num w:numId="247">
    <w:abstractNumId w:val="214"/>
  </w:num>
  <w:num w:numId="248">
    <w:abstractNumId w:val="86"/>
  </w:num>
  <w:num w:numId="249">
    <w:abstractNumId w:val="228"/>
  </w:num>
  <w:num w:numId="250">
    <w:abstractNumId w:val="131"/>
  </w:num>
  <w:num w:numId="251">
    <w:abstractNumId w:val="195"/>
  </w:num>
  <w:num w:numId="252">
    <w:abstractNumId w:val="210"/>
  </w:num>
  <w:num w:numId="253">
    <w:abstractNumId w:val="170"/>
  </w:num>
  <w:num w:numId="254">
    <w:abstractNumId w:val="65"/>
  </w:num>
  <w:num w:numId="255">
    <w:abstractNumId w:val="213"/>
  </w:num>
  <w:num w:numId="256">
    <w:abstractNumId w:val="84"/>
  </w:num>
  <w:num w:numId="257">
    <w:abstractNumId w:val="163"/>
  </w:num>
  <w:num w:numId="258">
    <w:abstractNumId w:val="107"/>
  </w:num>
  <w:num w:numId="259">
    <w:abstractNumId w:val="82"/>
  </w:num>
  <w:num w:numId="26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387879"/>
    <w:rsid w:val="3FFF9A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image" Target="media/image1.png"/><Relationship Id="rId39" Type="http://schemas.openxmlformats.org/officeDocument/2006/relationships/image" Target="media/image27.jpeg"/><Relationship Id="rId38" Type="http://schemas.openxmlformats.org/officeDocument/2006/relationships/package" Target="embeddings/Workbook8.xlsx"/><Relationship Id="rId37" Type="http://schemas.openxmlformats.org/officeDocument/2006/relationships/image" Target="media/image26.png"/><Relationship Id="rId36" Type="http://schemas.openxmlformats.org/officeDocument/2006/relationships/image" Target="media/image25.jpeg"/><Relationship Id="rId35" Type="http://schemas.openxmlformats.org/officeDocument/2006/relationships/package" Target="embeddings/Workbook7.xlsx"/><Relationship Id="rId34" Type="http://schemas.openxmlformats.org/officeDocument/2006/relationships/image" Target="media/image24.jpeg"/><Relationship Id="rId33" Type="http://schemas.openxmlformats.org/officeDocument/2006/relationships/package" Target="embeddings/Workbook6.xlsx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theme" Target="theme/theme1.xml"/><Relationship Id="rId29" Type="http://schemas.openxmlformats.org/officeDocument/2006/relationships/image" Target="media/image20.jpeg"/><Relationship Id="rId28" Type="http://schemas.openxmlformats.org/officeDocument/2006/relationships/package" Target="embeddings/Workbook5.xlsx"/><Relationship Id="rId27" Type="http://schemas.openxmlformats.org/officeDocument/2006/relationships/image" Target="media/image19.jpeg"/><Relationship Id="rId26" Type="http://schemas.openxmlformats.org/officeDocument/2006/relationships/package" Target="embeddings/Workbook4.xlsx"/><Relationship Id="rId25" Type="http://schemas.openxmlformats.org/officeDocument/2006/relationships/image" Target="media/image18.jpeg"/><Relationship Id="rId24" Type="http://schemas.openxmlformats.org/officeDocument/2006/relationships/oleObject" Target="embeddings/oleObject1.bin"/><Relationship Id="rId23" Type="http://schemas.openxmlformats.org/officeDocument/2006/relationships/image" Target="media/image17.jpeg"/><Relationship Id="rId22" Type="http://schemas.openxmlformats.org/officeDocument/2006/relationships/package" Target="embeddings/Workbook3.xlsx"/><Relationship Id="rId21" Type="http://schemas.openxmlformats.org/officeDocument/2006/relationships/image" Target="media/image16.jpeg"/><Relationship Id="rId20" Type="http://schemas.openxmlformats.org/officeDocument/2006/relationships/package" Target="embeddings/Workbook2.xlsx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package" Target="embeddings/Workbook1.xlsx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10063</Words>
  <Characters>15670</Characters>
  <TotalTime>0</TotalTime>
  <ScaleCrop>false</ScaleCrop>
  <LinksUpToDate>false</LinksUpToDate>
  <CharactersWithSpaces>18090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2026-08-03T22:05:00Z</dcterms:created>
  <dc:creator>Apache POI</dc:creator>
  <cp:lastModifiedBy>仗义桃</cp:lastModifiedBy>
  <dcterms:modified xsi:type="dcterms:W3CDTF">2026-08-06T08:46:54Z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AC669B6B342141CB9B102AB2C0D429D6_13</vt:lpwstr>
  </property>
  <property fmtid="{D5CDD505-2E9C-101B-9397-08002B2CF9AE}" pid="4" name="KSOTemplateDocerSaveRecord">
    <vt:lpwstr>eyJoZGlkIjoiMjM1NDIyMTc4NTE1ZDIxODQ5NTM5NDcxNGM1YjQ2NWMiLCJ1c2VySWQiOiI5NTU1NzY1NjQifQ==</vt:lpwstr>
  </property>
</Properties>
</file>