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Button markup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classes to style a and button elements. input buttons are enhanced by the button widget. See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 for examples.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Note that in 1.4 data- attributes will still work. The deprecated buttonMarkup method will add the applicable classes to a (with data-role="button") and button elements. This method also adds the role="button" attribute to anchor elements.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markup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Corners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Icon-only buttons are round by default. Here we show how you can set the same border-radius as other buttons.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text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 - Inherit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Anchor - Theme swatch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Anchor - Theme swatch B</w:t>
      </w:r>
      <w:r w:rsidDel="00000000" w:rsidR="00000000" w:rsidRPr="00000000">
        <w:rPr>
          <w:rtl w:val="0"/>
        </w:rPr>
        <w:t xml:space="preserve"> Button - Inherit Button - Theme swatch A Button - Theme swatch B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Inline: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shadow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This styling option is deprecated in jQuery Mobile 1.4.0 and will be removed in 1.5.0. Accordingly, we changed the default for framework-enhanced buttons to false.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 B: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Disabled anchor via class</w:t>
      </w:r>
      <w:r w:rsidDel="00000000" w:rsidR="00000000" w:rsidRPr="00000000">
        <w:rPr>
          <w:rtl w:val="0"/>
        </w:rPr>
        <w:t xml:space="preserve"> Button with disabled attribute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Native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1.4 button will still be auto-enhanced. This example shows how you can prevent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button/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