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Radio buttons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Radio inputs are used to provide a list of options where only a single option can be selected. Radio buttons are enhanced by the checkboxradio widget.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Basic markup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create a set of radio buttons, add an input with a type="radio" attribute and a corresponding label. Set the for attribute of the label to match the id of the input so they are semantically associated.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One Two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Vertical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visually integrate multiple radio buttons into a vertically grouped button set, the framework will automatically remove all margins between buttons and round only the top and bottom corners of the set if there is a data-role="controlgroup" attribute on the container.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Vertical: One Two Three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Horizontal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make a horizontal button set, add the data-type="horizontal" to the fieldset.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Horizontal: One Two Three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a more compact version that is useful in toolbars and tight spaces, add the data-mini="true" attribute to the element to create a mini version.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Vertical, icon right, mini sized: One Two Three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Icon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swap the position of the radio icon from the default position on the left, add the data-iconpos="right" attribute to the controlgroup.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Vertical, icon right: One Two Three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set the theme, add the data-theme attribute to the controlgroup or each of the individual checkbox inputs.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Horizontal: One Two Three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One Two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Enhanced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agree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