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Controlgroup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Controlgroups are used to visually group a set of buttons to form a single block that looks contained like a navigation component.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Controlgroup vertical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No icon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Icon only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No icon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Icon only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Controlgroup horizontal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No icon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Bottom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Icon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Icon only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Home Search More Select…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No icon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Bottom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Bottom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Icon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Icon only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Home Search More Select…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Radio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Vertical, mini sized: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Horizontal, mini sized: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Vertical, mini sized: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Horizontal, mini sized: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Selects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Vertical, mini sized: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Horizontal: Select A One Two Three Select B One Two Three Select C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Horizontal, mini sized: Select A One Two Three Select B One Two Three Select C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Textinputs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textinputs are not officially supported by the controlgroup they can be made to work with some simple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make this work you will need to add one css rule and use textinput's wrapperClass option to set two classes on the textinput wrapper.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€ £ ¥ ₩ ₹ .00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Pre-rendered markup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supply pre-rendered markup for any controlgroup to save startup time. The example below illustrates the markup you have to provide for a pre-rendered controlgroup. Note that the widgets inside the controlgroup need not necessarily be pre-rendered.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Pre-rendered controlgroup: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Checkbox 1 Checkbox 2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