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How do I scroll to a position on a page?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we use the URL hash to preserve Back button behavior, using page anchors to jump down to a position on the page isn't supported by using the traditional anchor link (#foo). This feature is slated for 1.4, but until then, you can use the silentScroll method to scroll to a particular Y position without triggering scroll event listeners. You can pass in a yPos argument to scroll to that Y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an example of how to scroll to a position: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//scroll to Y 300px</w:t>
        <w:br w:type="textWrapping"/>
        <w:t xml:space="preserve">$.mobile.silentScroll(300);</w:t>
        <w:br w:type="textWrapping"/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