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External header Page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Page A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Page B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Page C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Page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left panel and fixed header are outside the page. The right panel and fixed footer are inside the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right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Internal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Page 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Overlay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Page A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Page B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Page 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External panel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Page 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Reveal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page-c.html" TargetMode="External"/><Relationship Id="rId10" Type="http://schemas.openxmlformats.org/officeDocument/2006/relationships/hyperlink" Target="http://docs.google.com/page-b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page-b.html" TargetMode="External"/><Relationship Id="rId7" Type="http://schemas.openxmlformats.org/officeDocument/2006/relationships/hyperlink" Target="http://docs.google.com/page-c.html" TargetMode="External"/><Relationship Id="rId8" Type="http://schemas.openxmlformats.org/officeDocument/2006/relationships/hyperlink" Target="http://docs.google.com/page-c.html" TargetMode="External"/></Relationships>
</file>