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Popular 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example of how to use the column toggle table to create a comparison view where products can be shown or hidden.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tl w:val="0"/>
              </w:rPr>
              <w:t xml:space="preserve">Apple</w:t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iPhone 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Galaxy S III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tl w:val="0"/>
              </w:rPr>
              <w:t xml:space="preserve">Nokia</w:t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Lumia 920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tl w:val="0"/>
              </w:rPr>
              <w:t xml:space="preserve">HTC</w:t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4.87"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5.38"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5.11"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5.3"</w:t>
            </w:r>
          </w:p>
        </w:tc>
      </w:tr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Width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2.31"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2.78"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2.79"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2.75"</w:t>
            </w:r>
          </w:p>
        </w:tc>
      </w:tr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Depth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0.34"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0.42"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0.37"</w:t>
            </w:r>
          </w:p>
        </w:tc>
      </w:tr>
      <w:tr>
        <w:tc>
          <w:tcPr>
            <w:shd w:fill="dddddd"/>
            <w:tcMar>
              <w:top w:w="230.40001831054724" w:type="dxa"/>
              <w:left w:w="153.60000839233408" w:type="dxa"/>
              <w:bottom w:w="230.40001831054724" w:type="dxa"/>
              <w:right w:w="153.60000839233408" w:type="dxa"/>
            </w:tcMar>
          </w:tcPr>
          <w:p w:rsidR="00000000" w:rsidDel="00000000" w:rsidP="00000000" w:rsidRDefault="00000000" w:rsidRPr="00000000">
            <w:pPr>
              <w:spacing w:after="230.40001831054724" w:before="230.40001831054724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 (lbs.)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