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Table Column toggle: Heading groups</w:t>
      </w:r>
    </w:p>
    <w:p w:rsidR="00000000" w:rsidDel="00000000" w:rsidP="00000000" w:rsidRDefault="00000000" w:rsidRPr="00000000">
      <w:pPr>
        <w:contextualSpacing w:val="0"/>
      </w:pPr>
      <w:r w:rsidDel="00000000" w:rsidR="00000000" w:rsidRPr="00000000">
        <w:rPr>
          <w:rtl w:val="0"/>
        </w:rPr>
        <w:t xml:space="preserve">The columns of data are shown and toggled as sets under each grouped heading for each financial quarter. In this example, the totals are shown at narrow widths, then more historical quarters are revealed at wider widths by assigning priorities to the columns.</w:t>
      </w:r>
    </w:p>
    <w:tbl>
      <w:tblPr>
        <w:tblStyle w:val="Table1"/>
        <w:bidi w:val="0"/>
        <w:tblW w:w="936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Q1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Q2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Q3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Q4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color w:val="ffffff"/>
                <w:rtl w:val="0"/>
              </w:rPr>
              <w:t xml:space="preserve">YTD Totals</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Store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Boston</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Chicago</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NYC</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bl>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