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Table Reflow: Heading groups</w:t>
      </w:r>
    </w:p>
    <w:p w:rsidR="00000000" w:rsidDel="00000000" w:rsidP="00000000" w:rsidRDefault="00000000" w:rsidRPr="00000000">
      <w:pPr>
        <w:contextualSpacing w:val="0"/>
      </w:pPr>
      <w:r w:rsidDel="00000000" w:rsidR="00000000" w:rsidRPr="00000000">
        <w:rPr>
          <w:rtl w:val="0"/>
        </w:rPr>
        <w:t xml:space="preserve">This table will stack the data into label value pairs at narrow widths. The grouped column headings are displayed as subheadings between data sets. The screen needs to be wide before it shows the tabular format so the media query is set to 72em (1,152px). There are custom styles for the first row to set the background to dark gray with white text and hide the label so it looks more like a section divider.</w:t>
      </w:r>
    </w:p>
    <w:tbl>
      <w:tblPr>
        <w:tblStyle w:val="Table1"/>
        <w:bidi w:val="0"/>
        <w:tblW w:w="9360.0" w:type="dxa"/>
        <w:jc w:val="left"/>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c>
          <w:tcPr>
            <w:tcBorders>
              <w:right w:color="ffffff" w:space="0" w:sz="6" w:val="single"/>
            </w:tcBorders>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Q1 2012</w:t>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Q2 2012</w:t>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Q3 2012</w:t>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Q4 2012</w:t>
            </w:r>
          </w:p>
        </w:tc>
        <w:tc>
          <w:tcPr>
            <w:gridSpan w:val="3"/>
            <w:tcBorders>
              <w:right w:color="ffffff" w:space="0" w:sz="6" w:val="single"/>
            </w:tcBorders>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YTD Totals</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Store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Income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Profit</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Change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Boston</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2,898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3,647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1,354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4,981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2,246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3,457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1,259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12,463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6,234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+5.9%</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Chicago</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2,898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3,647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1,354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4,981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2,246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3,457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1,259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12,463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6,234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+5.9%</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NYC</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2,898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739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3,647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1,354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+5.8%</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4,981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2,246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3,457</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1,259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-3.9%</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12,463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6,234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+5.9%</w:t>
            </w:r>
          </w:p>
        </w:tc>
      </w:tr>
    </w:tbl>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