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Back</w:t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External fixed header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Fixed external toolbars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The header and footer on this page are outside of the page within the body. They have been set to position fixed.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Auto init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Because these toolbars are not within the page they will not auto initalize. You must call the toolbar plugin yourself.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$(function(){</w:t>
        <w:br w:type="textWrapping"/>
        <w:tab/>
        <w:t xml:space="preserve">$( "[data-role='header'], [data-role='footer']" ).toolbar();</w:t>
        <w:br w:type="textWrapping"/>
        <w:t xml:space="preserve">});</w:t>
        <w:br w:type="textWrapping"/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Since external toolbars are outside the page they don't inherit a theme from the page. This means you always have to set a theme for them. You can use the data-theme attribute for this or set the theme option when you call the plugin: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$(function(){</w:t>
        <w:br w:type="textWrapping"/>
        <w:tab/>
        <w:t xml:space="preserve">$( "[data-role='header'], [data-role='footer']" ).toolbar({ theme: "a" });</w:t>
        <w:br w:type="textWrapping"/>
        <w:t xml:space="preserve">});</w:t>
        <w:br w:type="textWrapping"/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True persistent toolbars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Because External toolbars are outside of the page they are not effected by transition and make truly persistent toolbars possible.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Persistant toolbar demo</w:t>
        </w:r>
      </w:hyperlink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External fixed footer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toolbar/" TargetMode="External"/><Relationship Id="rId6" Type="http://schemas.openxmlformats.org/officeDocument/2006/relationships/hyperlink" Target="http://docs.google.com/toolbar-fixed-persistent/" TargetMode="External"/></Relationships>
</file>