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Associates,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Documented per-provider production across the network grew from $380,710 in 2021 to $624,640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practitioners in the role.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rPr/>
        <w:t>FSL is live. It is not a prototype, a pitch deck, or a grant proposal. It is a deployed, multi-platform Web3 decentralized infrastructure for sovereign data governance encompassing five infrastructure components: EncryptHealth (unified entry point with wallet-based authentication), HypnoNeuro (hypnotherapy and neurotransmitter-based wellness sessions with 45 browser-based therapeutic games (15 per level across L1 Hypnosis, L2 Orthomolecular, and L3 Inner Child)), SovereignLedger (health data governance infrastructure), AlchemistForge (shadow work and on-chain verified personal transformation), and NeuroBalance (backend wellness intelligence layer). Eight smart contracts are live on Ethereum Sepolia testnet. A 17-agent AI council runs 24/7 on self-hosted infrastructure. A USPTO trademark application is on file (Serial No. 99533250). The platform has been built, governed, and managed entirely under my technical and strategic leadership. The architectural pattern underlying this work is the subject of U.S. Provisional Patent Application No. 64/063,037, filed 11 May 2026.</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rPr/>
        <w:t>The Applied Project: Decentralized Sovereign Data Governance: Behavioral Health as a Proving Ground for Wallet-Signed Consent Architectures</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HIPAA-regulated behavioral health as the highest-bar test case — though FSL itself holds no Protected Health Information by architectural design for a generalizable design pattern? Second: how do tokenized incentive structures - specifically earned-only token models, NFT-based access tiers, and community contribution mechanisms - affect Sovereign Guide participation and sustained participant engagement in decentralized infrastructure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rPr/>
        <w:t>I welcome the opportunity to work with Arizona State University and am deeply grateful for the consideration.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