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3366" w:sz="6" w:space="1"/>
        </w:pBd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FUTURE SYSTEMS LAB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Where Mental Wellness Meets Metaverse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INTELLECTUAL PROPERTY STRATEGY BRIEF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for: IP Counsel | April 7, 2026</w:t>
      </w:r>
    </w:p>
    <w:p>
      <w:pPr>
        <w:pStyle w:val="Heading1"/>
      </w:pPr>
      <w:r>
        <w:t xml:space="preserve">1. Entity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legally separate entities require distinct trademark portfolios: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Systems Lab (FSL)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Naturopathic Psychology &amp; Hypnosis 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platform / SaaS infrastructure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practice LLC (Wyoming)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FSL LLC (to be established)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Margarita Davenport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 wellness ecosystem, blockchain infrastructure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Naturopathic psychology, hypnosis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Liability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platform — no clinical liability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 — clinical liability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Acquisition-ready — can be sold/licensed independently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practice — not for 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 Classes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42 (SaaS/tech), Class 41 (education)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44 (health services), Class 41 (education)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Marks to Register — Priority Order</w:t>
      </w:r>
    </w:p>
    <w:p>
      <w:pPr>
        <w:pStyle w:val="Heading2"/>
      </w:pPr>
      <w:r>
        <w:t xml:space="preserve">Future Systems Lab Portfolio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3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5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5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5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5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Future Systems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42, 41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Immediate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 wellness platform, blockchain SaaS, educational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Mental Wellness Meets Metaverse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41, 42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Immediate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tagline — high brand value, word 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42, 44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health intelligence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HypnoNeuro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41, 42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wellness sessions, neurotransmitter education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SovereignLedger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42, 35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High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health governance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AlchemistForge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41, 42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work platform, Jungian wellness education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HNT / Sovereign Wellness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36, 42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wellness loyalty token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Naturopathic Psychology &amp; Hypnosis Center Portfolio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34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Naturopathic Psychology and Hypnosis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44, 41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Immediate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naturopathic psychology, hypnosis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HypnosisPsych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44, 41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Hypnosis psychology services brand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Existing USPTO Application — Confirmed Details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Application confirmed via TSDR. Serial No. 99533250.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99533250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SYSTEMS 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Systems Lab (Wyoming LLC)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Filed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— Business technology software consultation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Filing Basis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1(b) — Intent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Filing 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6,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 By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Margarita Davenport, Authorized Signatory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entity and class are correct. Goods/services description needs broadening.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Recommended Amendment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description is too narrow. Ask counsel to amend to: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003366"/>
          <w:sz w:val="22"/>
          <w:szCs w:val="22"/>
        </w:rPr>
        <w:t xml:space="preserve">"Providing online platform services featuring software for sovereign health data management, blockchain-based wellness record keeping, and connecting wellness practitioners with participants via Web3 technology; software as a service (SaaS) featuring wellness intelligence tools."</w:t>
      </w:r>
    </w:p>
    <w:p>
      <w:pPr>
        <w:pStyle w:val="Heading2"/>
      </w:pPr>
      <w:r>
        <w:t xml:space="preserve">Questions for Counsel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the goods/services description be amended to broaden coverage of the platform's actual services?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the existing filing create any conflict with the two-entity structure described above?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there any office actions pending requiring response?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Advise on priority order and strategy for filing remaining marks listed in Section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Advise on international filing strategy (Madrid Protocol) given Web3/global platform nature.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Key Positioning Points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FSL is a TECHNOLOGY PLATFORM — not a healthcare provider, not a medical system. Trademark descriptions must reflect SaaS/platform language, not healthcare services language.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two-entity separation is deliberate and must be preserved in all filings. Clinical liability stays with the LLC; technology IP stays with FSL.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HypnoNeuro is an educational wellness platform — framing must avoid any clinical or diagnostic language in the trademark description.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SovereignLedger is described as sovereign health governance infrastructure — not insurance, not medical records.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Where Mental Wellness Meets Metaverse is the highest-value tagline and should be filed as a word mark immediately — it has significant acquisition value.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FSL ecosystem has been built as acquisition-ready infrastructure. Clean IP ownership is critical to any future transaction.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Recommended 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Pull existing USPTO application — confirm serial number, status, classes, and goods/services description.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Amend existing application if needed to ensure Class 42 language is included.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new application for Future Systems Lab word mark + Where Mental Wellness Meets Metaverse tagline immediately.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Establish FSL LLC as the proper trademark owner entity before filing new applications.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 Naturopathic Psychology and Hypnosis Center mark under Wyoming LLC separately.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Conduct USPTO TESS clearance search for EncryptHealth, HypnoNeuro, SovereignLedger before filing.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Consider international filing (Madrid Protocol) for key marks given Web3/global platform nature.</w:t>
      </w:r>
    </w:p>
    <w:p>
      <w:pPr>
        <w:spacing w:after="200"/>
      </w:pPr>
      <w:r>
        <w:t xml:space="preserve"/>
      </w:r>
    </w:p>
    <w:p>
      <w:pPr>
        <w:pBdr>
          <w:top w:val="single" w:color="00336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Margarita Davenport, D.N.Psy., BCHN, CBHP</w:t>
      </w: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Founder, Future Systems Lab | futuresystemslab.io</w:t>
      </w: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LinkedIn: linkedin.com/in/meg-montanez-davenport-680652226/</w:t>
      </w: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This document is a strategic brief for attorney consultation. It does not constitute legal advice.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55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2026-04-07T12:09:23.759Z</dcterms:created>
  <dcterms:modified xsi:type="dcterms:W3CDTF">2026-04-07T12:09:23.760Z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