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over $568,000 annualized by 2024 - a 49% increase over four documented years.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Together, these three represent the complete advisory architecture for an applied project that is simultaneously a clinical systems design problem, a security and privacy engineering problem, and a blockchain infrastructure problem.</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