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$624,000 annualized through October 2024 — a 64% increase across four documented years of continuous year-over-year growth.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Future Systems Lab was not born from a market opportunity. It was born from an engineering problem statement: what would a mental wellness delivery system look like if it were designed from the beginning around the person - their privacy, their autonomy, their data sovereignty - rather than around institutional convenience?</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Hassan Ghasemzadeh (College of Health Solutions - Biomedical Informatics &amp; Data Science) is the primary advisor I would want.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is not adjacent to my applied project - it is the academic literature I have been building toward in practice. I want to bring a live system into his research environment and do the work of formalizing it.</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Dragan Boscovic (ASU Blockchain Research Lab - School of Computing and Augmented Intelligence) is the blockchain-specific faculty member whose work is, in some ways, the most direct mirror of FSL's applied project. His lab has been researching blockchain for healthcare data sovereignty since 2019 - specifically the question of how patients can maintain ownership of their medical data and share it only on a need-to-know basis. That is not a description of a research direction I am interested in. It is a description of what Future Systems Lab has already built. Dr. Boscovic's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Together, these three represent the complete advisory architecture for an applied project that is simultaneously a clinical systems design problem, a security and privacy engineering problem, and a blockchain infrastructure problem.</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health data governance system that meets HIPAA-adjacent privacy standards without centralized data storage?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It is also worth stating explicitly: while FSL uses behavioral health as its proving ground, the architecture addresses the fundamental infrastructure failures that cascade across all healthcare domains - and beyond healthcare into any system where trust, access, and sovereignty determine human outcomes. A consent-first, wallet-gated, decentralized data governance system with tokenized incentive structures and on-chain auditability is a generalizable infrastructure model. Healthcare is where the human cost of getting this wrong is highest and most visible - which is precisely why it is the right domain to stress-test a decentralized architecture. The documentation and scalability framework this applied project produces will be applicable to any domain where data sovereignty, consent, access equity, and trustless governance are design requirements.</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