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My documented hygienist production grew from $380,710 in 2021 to $624,000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45 browser-based therapeutic games (15 per level across L1 Hypnosis, L2 Orthomolecular, and L3 Inner Child)), SovereignLedger (health data governance infrastructure), AlchemistForge (shadow work and on-chain verified personal transformation), and NeuroBalance (backend wellness intelligence layer). Eight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Dragan Boscovic (ASU Blockchain Research Lab - School of Computing and Augmented Intelligence) is the primary advisor I would want. His lab's research direction is the most direct intellectual ancestor of what FSL has built. Since 2019 his Blockchain Research Lab has been advancing exactly what FSL implements: patient-controlled medical data, consent-first sharing, blockchain healthcare infrastructure. His former graduate student Manish Vishnoi's master's thesis - "How people can maintain ownership of their medical data and only share it on a need-to-know basis" - is FSL's literature foundation. His three-component blockchain framework (scalability, security, decentralization) captures the design tradeoffs FSL navigated. His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Hassan Ghasemzadeh (College of Health Solutions - Biomedical Informatics &amp; Data Science) is the clinical informatics co-advisor who validates the proving ground.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validates that FSL's behavioral health framing is clinically rigorous. I want to bring a live system into his research environment and do the work of formalizing it.</w:t>
      </w:r>
    </w:p>
    <w:p>
      <w:pPr>
        <w:spacing w:after="120"/>
      </w:pPr>
    </w:p>
    <w:p>
      <w:pPr>
        <w:spacing w:after="120"/>
      </w:pPr>
      <w:r>
        <w:t>Together, these three represent the complete advisory architecture - with Dr. Boscovic anchoring the blockchain engineering pillar, Dr. Ahn formalizing the security and identity foundations, and Dr. Ghasemzadeh validating the clinical depth of the behavioral health proving ground.</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data governance system that achieves regulatory-grade privacy standards without centralized data storage — using HIPAA as the highest-bar test case for a generalizable design pattern?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