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My documented hygienist production grew from $380,710 in 2021 to over $568,000 annualized by 2024 - a 49% increase over four documented years.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Together, these three represent the complete advisory architecture for an applied project that is simultaneously a clinical systems design problem, a security and privacy engineering problem, and a blockchain infrastructure problem.</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jc w:val="center"/>
      </w:pPr>
      <w:r>
        <w:rPr>
          <w:color w:val="999999"/>
        </w:rPr>
        <w:t>—</w:t>
      </w:r>
    </w:p>
    <w:p>
      <w:pPr>
        <w:spacing w:before="0" w:after="120"/>
        <w:jc w:val="center"/>
      </w:pPr>
      <w:r>
        <w:rPr>
          <w:i/>
          <w:color w:val="666666"/>
          <w:sz w:val="20"/>
        </w:rPr>
        <w:t>AI Use Disclosure</w:t>
      </w:r>
    </w:p>
    <w:p>
      <w:pPr>
        <w:spacing w:before="0" w:after="0"/>
        <w:jc w:val="center"/>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