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My documented hygienist production grew from $380,710 in 2021 to over $568,000 annualized by 2024 - a 49% increase across four documented years (2021–2024).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Together, these three represent the complete advisory architecture for an applied project that is simultaneously a clinical systems design problem, a security and privacy engineering problem, and a blockchain infrastructure problem.</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It is also worth stating explicitly: while FSL uses behavioral health as its proving ground, the architecture addresses the fundamental infrastructure failures that cascade across all healthcare domains - and beyond healthcare into any system where trust, access, and sovereignty determine human outcomes.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