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rPr>
        <w:t>Meg Montañez-Davenport, D.N.Psy., BCHN, CBHP</w:t>
      </w:r>
    </w:p>
    <w:p>
      <w:pPr>
        <w:spacing w:after="120"/>
      </w:pPr>
      <w:r>
        <w:t>Founder &amp; CEO, Future Systems Lab | future.systems.lab@proton.me</w:t>
      </w:r>
    </w:p>
    <w:p>
      <w:pPr>
        <w:spacing w:after="120"/>
      </w:pPr>
    </w:p>
    <w:p>
      <w:pPr>
        <w:spacing w:after="120"/>
      </w:pPr>
      <w:r>
        <w:t>January 2027</w:t>
      </w:r>
    </w:p>
    <w:p>
      <w:pPr>
        <w:spacing w:after="120"/>
      </w:pPr>
    </w:p>
    <w:p>
      <w:pPr>
        <w:spacing w:after="120"/>
      </w:pPr>
      <w:r>
        <w:rPr>
          <w:b/>
        </w:rPr>
        <w:t>Ira A. Fulton Schools of Engineering</w:t>
      </w:r>
    </w:p>
    <w:p>
      <w:pPr>
        <w:spacing w:after="120"/>
      </w:pPr>
      <w:r>
        <w:t>School of Computing and Augmented Intelligence</w:t>
      </w:r>
    </w:p>
    <w:p>
      <w:pPr>
        <w:spacing w:after="120"/>
      </w:pPr>
      <w:r>
        <w:t>Arizona State University</w:t>
      </w:r>
    </w:p>
    <w:p>
      <w:pPr>
        <w:spacing w:after="120"/>
      </w:pPr>
    </w:p>
    <w:p>
      <w:pPr>
        <w:spacing w:after="120"/>
      </w:pPr>
      <w:r>
        <w:rPr>
          <w:b/>
        </w:rPr>
        <w:t>Letter of Intent - Doctor of Engineering in Engineering Management, Spring 2027</w:t>
      </w:r>
    </w:p>
    <w:p>
      <w:pPr>
        <w:spacing w:after="120"/>
      </w:pPr>
    </w:p>
    <w:p>
      <w:pPr>
        <w:spacing w:after="120"/>
      </w:pPr>
      <w:r>
        <w:t>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p>
    <w:p>
      <w:pPr>
        <w:spacing w:after="120"/>
      </w:pPr>
    </w:p>
    <w:p>
      <w:pPr>
        <w:spacing w:after="120"/>
      </w:pPr>
      <w:r>
        <w:t>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p>
    <w:p>
      <w:pPr>
        <w:spacing w:after="120"/>
      </w:pPr>
    </w:p>
    <w:p>
      <w:pPr>
        <w:spacing w:after="120"/>
      </w:pPr>
      <w:r>
        <w:t>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p>
    <w:p>
      <w:pPr>
        <w:spacing w:after="120"/>
      </w:pPr>
    </w:p>
    <w:p>
      <w:pPr>
        <w:spacing w:after="120"/>
      </w:pPr>
      <w:r>
        <w:t>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p>
    <w:p>
      <w:pPr>
        <w:spacing w:after="120"/>
      </w:pPr>
    </w:p>
    <w:p>
      <w:pPr>
        <w:spacing w:after="120"/>
      </w:pPr>
      <w:r>
        <w:t>What I understand now is that my mother was also failed by the same system. Her untreated trauma became the source of ours. The system that was supposed to heal her instead left her to damage the people she was supposed to protect. This wasn't personal pathology - this was systemic failure cascading through generations. The hunger I felt to understand 'why' wasn't just about survival - it was about breaking a cycle that had already claimed too many.</w:t>
      </w:r>
    </w:p>
    <w:p>
      <w:pPr>
        <w:spacing w:after="120"/>
      </w:pPr>
    </w:p>
    <w:p>
      <w:pPr>
        <w:spacing w:after="120"/>
      </w:pPr>
      <w:r>
        <w:t>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p>
    <w:p>
      <w:pPr>
        <w:spacing w:after="120"/>
      </w:pPr>
    </w:p>
    <w:p>
      <w:pPr>
        <w:spacing w:after="120"/>
      </w:pPr>
      <w:r>
        <w:t>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p>
    <w:p>
      <w:pPr>
        <w:spacing w:after="120"/>
      </w:pPr>
    </w:p>
    <w:p>
      <w:pPr>
        <w:spacing w:after="120"/>
      </w:pPr>
      <w:r>
        <w:t>On October 29, 2023 - six days after his 50th birthday - EJ shot himself.</w:t>
      </w:r>
    </w:p>
    <w:p>
      <w:pPr>
        <w:spacing w:after="120"/>
      </w:pPr>
    </w:p>
    <w:p>
      <w:pPr>
        <w:spacing w:after="120"/>
      </w:pPr>
      <w:r>
        <w:t>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p>
    <w:p>
      <w:pPr>
        <w:spacing w:after="120"/>
      </w:pPr>
    </w:p>
    <w:p>
      <w:pPr>
        <w:spacing w:after="120"/>
      </w:pPr>
      <w:r>
        <w:t>EJ did not fail the system. The system failed EJ. Specifically, precisely, and preventably. But EJ's death made it clear that individual healing wasn't enough. The gaps that failed my mother, that failed me, that killed my brother - these aren't edge cases. They're architectural features of a system designed around institutional convenience rather than human need. I built Future Systems Lab not just for people like me and EJ, but for every family caught in cycles the current system perpetuates rather than breaks. Clinical work can only ever reach one person at a time. A system is unlimited. A system can outlive me. People like my family deserve a response at that scale. I believe the universe placed me in charge of building it because I am relentless in purpose - and I have the lived experience, the clinical foundation, and now the technical infrastructure to see it through.</w:t>
      </w:r>
    </w:p>
    <w:p>
      <w:pPr>
        <w:spacing w:after="120"/>
      </w:pPr>
    </w:p>
    <w:p>
      <w:pPr>
        <w:spacing w:after="120"/>
      </w:pPr>
      <w:r>
        <w:t>The Practitioner: Building the Clinical Foundation</w:t>
      </w:r>
    </w:p>
    <w:p>
      <w:pPr>
        <w:spacing w:after="120"/>
      </w:pPr>
    </w:p>
    <w:p>
      <w:pPr>
        <w:spacing w:after="120"/>
      </w:pPr>
      <w:r>
        <w:t>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p>
    <w:p>
      <w:pPr>
        <w:spacing w:after="120"/>
      </w:pPr>
    </w:p>
    <w:p>
      <w:pPr>
        <w:spacing w:after="120"/>
      </w:pPr>
      <w:r>
        <w:t>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p>
    <w:p>
      <w:pPr>
        <w:spacing w:after="120"/>
      </w:pPr>
    </w:p>
    <w:p>
      <w:pPr>
        <w:spacing w:after="120"/>
      </w:pPr>
      <w:r>
        <w:t>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p>
    <w:p>
      <w:pPr>
        <w:spacing w:after="120"/>
      </w:pPr>
    </w:p>
    <w:p>
      <w:pPr>
        <w:spacing w:after="120"/>
      </w:pPr>
      <w:r>
        <w:t>Basic Qualifications</w:t>
      </w:r>
    </w:p>
    <w:p>
      <w:pPr>
        <w:spacing w:after="120"/>
      </w:pPr>
    </w:p>
    <w:p>
      <w:pPr>
        <w:spacing w:after="120"/>
      </w:pPr>
      <w:r>
        <w:t>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p>
    <w:p>
      <w:pPr>
        <w:spacing w:after="120"/>
      </w:pPr>
    </w:p>
    <w:p>
      <w:pPr>
        <w:spacing w:after="120"/>
      </w:pPr>
      <w:r>
        <w:t>Provider credentials include National Provider Identifier (NPI) 1497696264, issued by NPPES, Taxonomy 175F00000X (Naturopath, Primary), reflecting active licensure as a credentialed healthcare provider.</w:t>
      </w:r>
    </w:p>
    <w:p>
      <w:pPr>
        <w:spacing w:after="120"/>
      </w:pPr>
    </w:p>
    <w:p>
      <w:pPr>
        <w:spacing w:after="120"/>
      </w:pPr>
      <w:r>
        <w:t>My career spans nearly three decades of clinical and entrepreneurial leadership. I began in 1996 as a dental assistant in California, where I was trained in expanded functions including IV sedation placement and monitoring, local anesthesia administration, and radiology. From 1998 to 2002, I worked as a contract dental assistant across NC practices addressing shortages. In 2002, I graduated with an AAS in Dental Hygiene from Coastal Carolina Community College and have since maintained ongoing multi-practice contract work across North Carolina.</w:t>
      </w:r>
    </w:p>
    <w:p>
      <w:pPr>
        <w:spacing w:after="120"/>
      </w:pPr>
    </w:p>
    <w:p>
      <w:pPr>
        <w:spacing w:after="120"/>
      </w:pPr>
      <w:r>
        <w:t>The defining phase of my clinical career began in 2017 when I contracted with Riccobene Family Dentistry, initially as one of my multiple NC practice engagements. In 2019, when pandemic-driven hygienist shortages threatened throughput across Riccobene's 70+ office network, CEO Michael Riccobene personally recruited me for a company-wide engineering intervention. Working directly with Riccobene's C-suite, I designed and implemented a two-tier production-share compensation model: a 27% standard tier that was subsequently adopted across all company locations, and a 33% architect tier for myself as the system designer. This required restructuring workflow processes across multiple office locations while implementing the model network-wide.</w:t>
      </w:r>
    </w:p>
    <w:p>
      <w:pPr>
        <w:spacing w:after="120"/>
      </w:pPr>
    </w:p>
    <w:p>
      <w:pPr>
        <w:spacing w:after="120"/>
      </w:pPr>
      <w:r>
        <w:t>The results were measurable and sustained. My documented hygienist production grew from $380,710 in 2021 to $624,000 annualized through October 2024 — a 64% increase across four documented years of continuous year-over-year growth. (Documented figures begin 2021 following a practice management software migration; pre-migration data from the model’s 2019 launch is not retrievable in standardized format.). Concurrently, the hygienist share of total office production grew from 30.4% to 38.1%, demonstrating that the system redesign enhanced overall office economics rather than simply redistributing existing revenue. These metrics positioned my compensation at approximately 1.5-2× the North Carolina state benchmark for dental hygienists. Throughout this 6-year engagement with Riccobene (2019-2025), I maintained ownership and operations of my wellness businesses, demonstrating the intersection of clinical excellence and entrepreneurial leadership that would later inform FSL's design.</w:t>
      </w:r>
    </w:p>
    <w:p>
      <w:pPr>
        <w:spacing w:after="120"/>
      </w:pPr>
    </w:p>
    <w:p>
      <w:pPr>
        <w:spacing w:after="120"/>
      </w:pPr>
      <w:r>
        <w:t>Since June 2025, I have returned to multi-practice contract work, now providing both active clinical hygiene services and compensation model consulting to NC practices implementing structurally similar frameworks during the ongoing statewide shortage.</w:t>
      </w:r>
    </w:p>
    <w:p>
      <w:pPr>
        <w:spacing w:after="120"/>
      </w:pPr>
    </w:p>
    <w:p>
      <w:pPr>
        <w:spacing w:after="120"/>
      </w:pPr>
      <w:r>
        <w:t>I founded SunCodes Holistic Health (2018-2023), and launched both Future Systems Lab and the Naturopathic Psychology and Hypnosis Center in 2023. The attached CV documents the full record.</w:t>
      </w:r>
    </w:p>
    <w:p>
      <w:pPr>
        <w:spacing w:after="120"/>
      </w:pPr>
    </w:p>
    <w:p>
      <w:pPr>
        <w:spacing w:after="120"/>
      </w:pPr>
      <w:r>
        <w:t>I would welcome the opportunity to discuss my qualification pathway directly with the admissions committee if any clarification would be helpful.</w:t>
      </w:r>
    </w:p>
    <w:p>
      <w:pPr>
        <w:spacing w:after="120"/>
      </w:pPr>
    </w:p>
    <w:p>
      <w:pPr>
        <w:spacing w:after="120"/>
      </w:pPr>
      <w:r>
        <w:t>Why I Built Future Systems Lab: Five Problems, One Ecosystem</w:t>
      </w:r>
    </w:p>
    <w:p>
      <w:pPr>
        <w:spacing w:after="120"/>
      </w:pPr>
    </w:p>
    <w:p>
      <w:pPr>
        <w:spacing w:after="120"/>
      </w:pPr>
      <w:r>
        <w:t>I built Future Systems Lab to answer one engineering question: what does a data sovereignty system look like when it is designed around the person — their access, their autonomy, their anonymity — instead of around institutional convenience? I chose mental health as the proving ground because it is the hardest possible test. If the architecture holds for behavioral health — where stigma is highest, consent is most complex, and the human cost of failure is measured in lives — it holds for every other domain where trust, access, and sovereignty are non-negotiable design requirements.</w:t>
      </w:r>
    </w:p>
    <w:p>
      <w:pPr>
        <w:spacing w:after="120"/>
      </w:pPr>
    </w:p>
    <w:p>
      <w:pPr>
        <w:spacing w:after="120"/>
      </w:pPr>
      <w:r>
        <w:t>The five problems I set out to solve are the same five that made EJ's path so hard:</w:t>
      </w:r>
    </w:p>
    <w:p>
      <w:pPr>
        <w:spacing w:after="120"/>
      </w:pPr>
    </w:p>
    <w:p>
      <w:pPr>
        <w:spacing w:after="120"/>
      </w:pPr>
      <w:r>
        <w:t>Stigma - FSL does not use diagnostic language. HypnoNeuro's protocol is organized around neurotransmitter systems (serotonin, dopamine, GABA, endorphins, endocannabinoid) rather than diagnostic categories. A person selects what they want to work on, not what label applies to them.</w:t>
      </w:r>
    </w:p>
    <w:p>
      <w:pPr>
        <w:spacing w:after="120"/>
      </w:pPr>
    </w:p>
    <w:p>
      <w:pPr>
        <w:spacing w:after="120"/>
      </w:pPr>
      <w:r>
        <w:t>Shame - The platform is wallet-gated. There is no username tied to an email address, no insurance card, no referral form. You connect with your wallet and you are sovereign from the moment you arrive.</w:t>
      </w:r>
    </w:p>
    <w:p>
      <w:pPr>
        <w:spacing w:after="120"/>
      </w:pPr>
    </w:p>
    <w:p>
      <w:pPr>
        <w:spacing w:after="120"/>
      </w:pPr>
      <w:r>
        <w:t>Access - Decentralized architecture removes geographic and insurance gatekeeping. A person in rural North Carolina and a person in São Paulo have the same front door.</w:t>
      </w:r>
    </w:p>
    <w:p>
      <w:pPr>
        <w:spacing w:after="120"/>
      </w:pPr>
    </w:p>
    <w:p>
      <w:pPr>
        <w:spacing w:after="120"/>
      </w:pPr>
      <w:r>
        <w:t>Privacy - A consent-first architecture means your health data does not move without your cryptographic permission. SovereignLedger is the governance layer that ensures this is not a policy promise - it is an on-chain guarantee.</w:t>
      </w:r>
    </w:p>
    <w:p>
      <w:pPr>
        <w:spacing w:after="120"/>
      </w:pPr>
    </w:p>
    <w:p>
      <w:pPr>
        <w:spacing w:after="120"/>
      </w:pPr>
      <w:r>
        <w:t>Autonomy - Participants own their session history, their wellness journey, and their earned tokens. The AlchemistForge module allows users to record personal transformation on-chain. This is not a metaphor. It is a technical commitment.</w:t>
      </w:r>
    </w:p>
    <w:p>
      <w:pPr>
        <w:spacing w:after="120"/>
      </w:pPr>
    </w:p>
    <w:p>
      <w:pPr>
        <w:spacing w:after="120"/>
      </w:pPr>
      <w:r>
        <w:t>FSL is live. It is not a prototype, a pitch deck, or a grant proposal. It is a deployed, multi-platform Web3 sovereign wellness ecosystem encompassing five interconnected applications: EncryptHealth (unified entry point with wallet-based authentication), HypnoNeuro (hypnotherapy and neurotransmitter-based wellness sessions with 46 browser-based therapeutic games), SovereignLedger (health data governance infrastructure), AlchemistForge (shadow work and on-chain verified personal transformation), and NeuroBalance (backend wellness intelligence layer). Eight smart contracts are live on Ethereum Sepolia testnet. A 17-agent AI council runs 24/7 on self-hosted infrastructure. A USPTO trademark application is on file (Serial No. 99533250). The platform has been built, governed, and managed entirely under my technical and strategic leadership.</w:t>
      </w:r>
    </w:p>
    <w:p>
      <w:pPr>
        <w:spacing w:after="120"/>
      </w:pPr>
    </w:p>
    <w:p>
      <w:pPr>
        <w:spacing w:after="120"/>
      </w:pPr>
      <w:r>
        <w:t>Why Arizona State University - and Who I Want to Work With</w:t>
      </w:r>
    </w:p>
    <w:p>
      <w:pPr>
        <w:spacing w:after="120"/>
      </w:pPr>
    </w:p>
    <w:p>
      <w:pPr>
        <w:spacing w:after="120"/>
      </w:pPr>
      <w:r>
        <w:t>I did not arrive at ASU by default. I came looking for three specific people whose work maps directly onto the three pillars of FSL's architecture.</w:t>
      </w:r>
    </w:p>
    <w:p>
      <w:pPr>
        <w:spacing w:after="120"/>
      </w:pPr>
    </w:p>
    <w:p>
      <w:pPr>
        <w:spacing w:after="120"/>
      </w:pPr>
      <w:r>
        <w:t>Dr. Dragan Boscovic (ASU Blockchain Research Lab - School of Computing and Augmented Intelligence) is the primary advisor I would want. His lab's research direction is the most direct intellectual ancestor of what FSL has built. Since 2019 his Blockchain Research Lab has been advancing exactly what FSL implements: patient-controlled medical data, consent-first sharing, blockchain healthcare infrastructure. His former graduate student Manish Vishnoi's master's thesis - "How people can maintain ownership of their medical data and only share it on a need-to-know basis" - is FSL's literature foundation. His three-component blockchain framework (scalability, security, decentralization) captures the design tradeoffs FSL navigated. His expertise in tokenomics, smart contract verification, and trustless information systems for health data would bring exactly the formal rigor this applied project needs to become publishable, fundable research.</w:t>
      </w:r>
    </w:p>
    <w:p>
      <w:pPr>
        <w:spacing w:after="120"/>
      </w:pPr>
    </w:p>
    <w:p>
      <w:pPr>
        <w:spacing w:after="120"/>
      </w:pPr>
      <w:r>
        <w:t>Dr. Gail-Joon Ahn (School of Computing and Augmented Intelligence - SEFCOM Laboratory) 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p>
    <w:p>
      <w:pPr>
        <w:spacing w:after="120"/>
      </w:pPr>
    </w:p>
    <w:p>
      <w:pPr>
        <w:spacing w:after="120"/>
      </w:pPr>
      <w:r>
        <w:t>Dr. Hassan Ghasemzadeh (College of Health Solutions - Biomedical Informatics &amp; Data Science) is the clinical informatics co-advisor who validates the proving ground.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validates that FSL's behavioral health framing is clinically rigorous. I want to bring a live system into his research environment and do the work of formalizing it.</w:t>
      </w:r>
    </w:p>
    <w:p>
      <w:pPr>
        <w:spacing w:after="120"/>
      </w:pPr>
    </w:p>
    <w:p>
      <w:pPr>
        <w:spacing w:after="120"/>
      </w:pPr>
      <w:r>
        <w:t>Together, these three represent the complete advisory architecture - with Dr. Boscovic anchoring the blockchain engineering pillar, Dr. Ahn formalizing the security and identity foundations, and Dr. Ghasemzadeh validating the clinical depth of the behavioral health proving ground.</w:t>
      </w:r>
    </w:p>
    <w:p>
      <w:pPr>
        <w:spacing w:after="120"/>
      </w:pPr>
    </w:p>
    <w:p>
      <w:pPr>
        <w:spacing w:after="120"/>
      </w:pPr>
      <w:r>
        <w:t>The Applied Project: On-Chain Claims Lifecycle Ecosystem for Sovereign Behavioral Health</w:t>
      </w:r>
    </w:p>
    <w:p>
      <w:pPr>
        <w:spacing w:after="120"/>
      </w:pPr>
    </w:p>
    <w:p>
      <w:pPr>
        <w:spacing w:after="120"/>
      </w:pPr>
      <w:r>
        <w:t>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p>
    <w:p>
      <w:pPr>
        <w:spacing w:after="120"/>
      </w:pPr>
    </w:p>
    <w:p>
      <w:pPr>
        <w:spacing w:after="120"/>
      </w:pPr>
      <w:r>
        <w:t>The project will address four engineering research questions. First: what is the optimal architecture for a consent-first data governance system that achieves regulatory-grade privacy standards without centralized data storage — using HIPAA as the highest-bar test case for a generalizable design pattern? Second: how do tokenized incentive structures - specifically earned-only token models, NFT-based access tiers, and community contribution mechanisms - affect provider participation and sustained participant engagement in decentralized wellness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p>
    <w:p>
      <w:pPr>
        <w:spacing w:after="120"/>
      </w:pPr>
    </w:p>
    <w:p>
      <w:pPr>
        <w:spacing w:after="120"/>
      </w:pPr>
      <w:r>
        <w:t>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p>
    <w:p>
      <w:pPr>
        <w:spacing w:after="120"/>
      </w:pPr>
    </w:p>
    <w:p>
      <w:pPr>
        <w:spacing w:after="120"/>
      </w:pPr>
      <w:r>
        <w:t>This is not a theoretical exercise. It is applied engineering research in the most literal sense - research that begins with a system already in production and asks: how do we make it rigorous enough, documented enough, and replicable enough to reach everyone who needs it?</w:t>
      </w:r>
    </w:p>
    <w:p>
      <w:pPr>
        <w:spacing w:after="120"/>
      </w:pPr>
    </w:p>
    <w:p>
      <w:pPr>
        <w:spacing w:after="120"/>
      </w:pPr>
      <w:r>
        <w:t>FSL is, at its core, an applied engineering thesis: that the centralized data architecture underlying nearly every modern institution — healthcare, finance, government, education, identity — is structurally broken in the same way, and that a consent-first, wallet-gated, decentralized governance pattern resolves all of it. Mental health is where I have stress-tested this thesis because it is the domain where centralized failure costs lives most directly. The documentation, scalability framework, and validated reference architecture this applied project produces will be applicable to any system where access, autonomy, anonymity, and trustless governance are design requirements — and the engineering management discipline of formalizing that pattern is precisely what a Doctor of Engineering is for.</w:t>
      </w:r>
    </w:p>
    <w:p>
      <w:pPr>
        <w:spacing w:after="120"/>
      </w:pPr>
    </w:p>
    <w:p>
      <w:pPr>
        <w:spacing w:after="120"/>
      </w:pPr>
      <w:r>
        <w:t>I welcome the opportunity to work with Arizona State University and am deeply grateful for the consideration. I have been invited on several occasions to speak at TEDx and have declined - because the timing was not right and the platform needed to be earned, not just offered. It is my intention to accept that invitation as an ASU graduate student, with the research and the depth of understanding to stand behind every word. I am looking to align with people who share this vision - to help scale and bring this ecosystem to those who need it most: people like me and EJ.</w:t>
      </w:r>
    </w:p>
    <w:p>
      <w:pPr>
        <w:spacing w:after="120"/>
      </w:pPr>
    </w:p>
    <w:p>
      <w:pPr>
        <w:spacing w:after="120"/>
      </w:pPr>
      <w:r>
        <w:t>Warm regards,</w:t>
      </w:r>
    </w:p>
    <w:p>
      <w:pPr>
        <w:spacing w:after="120"/>
      </w:pPr>
    </w:p>
    <w:p>
      <w:pPr>
        <w:spacing w:after="120"/>
      </w:pPr>
      <w:r>
        <w:rPr>
          <w:b/>
        </w:rPr>
        <w:t>Meg Montañez-Davenport, D.N.Psy., BCHN, CBHP</w:t>
      </w:r>
    </w:p>
    <w:p>
      <w:pPr>
        <w:spacing w:after="120"/>
      </w:pPr>
      <w:r>
        <w:t>Founder &amp; CEO, Future Systems Lab</w:t>
      </w:r>
    </w:p>
    <w:p>
      <w:pPr>
        <w:spacing w:after="120"/>
      </w:pPr>
      <w:r>
        <w:t>future.systems.lab@proton.me</w:t>
      </w:r>
    </w:p>
    <w:p>
      <w:pPr>
        <w:spacing w:after="120"/>
      </w:pPr>
    </w:p>
    <w:p>
      <w:pPr>
        <w:spacing w:before="240" w:after="80"/>
      </w:pPr>
      <w:r>
        <w:rPr>
          <w:color w:val="999999"/>
        </w:rPr>
        <w:t>—</w:t>
      </w:r>
    </w:p>
    <w:p>
      <w:pPr>
        <w:spacing w:before="0" w:after="80"/>
        <w:jc w:val="left"/>
      </w:pPr>
      <w:r>
        <w:rPr>
          <w:i/>
          <w:color w:val="666666"/>
          <w:sz w:val="20"/>
        </w:rPr>
        <w:t>AI Use Disclosure</w:t>
      </w:r>
    </w:p>
    <w:p>
      <w:pPr>
        <w:spacing w:before="0" w:after="80"/>
        <w:jc w:val="left"/>
      </w:pPr>
      <w:r>
        <w:drawing>
          <wp:inline xmlns:a="http://schemas.openxmlformats.org/drawingml/2006/main" xmlns:pic="http://schemas.openxmlformats.org/drawingml/2006/picture">
            <wp:extent cx="5486400" cy="3365291"/>
            <wp:docPr id="1" name="Picture 1"/>
            <wp:cNvGraphicFramePr>
              <a:graphicFrameLocks noChangeAspect="1"/>
            </wp:cNvGraphicFramePr>
            <a:graphic>
              <a:graphicData uri="http://schemas.openxmlformats.org/drawingml/2006/picture">
                <pic:pic>
                  <pic:nvPicPr>
                    <pic:cNvPr id="0" name="ai_disclosure.png"/>
                    <pic:cNvPicPr/>
                  </pic:nvPicPr>
                  <pic:blipFill>
                    <a:blip r:embed="rId9"/>
                    <a:stretch>
                      <a:fillRect/>
                    </a:stretch>
                  </pic:blipFill>
                  <pic:spPr>
                    <a:xfrm>
                      <a:off x="0" y="0"/>
                      <a:ext cx="5486400" cy="3365291"/>
                    </a:xfrm>
                    <a:prstGeom prst="rect"/>
                  </pic:spPr>
                </pic:pic>
              </a:graphicData>
            </a:graphic>
          </wp:inline>
        </w:drawing>
      </w:r>
    </w:p>
    <w:p>
      <w:pPr>
        <w:spacing w:before="40" w:after="0"/>
        <w:jc w:val="left"/>
      </w:pPr>
      <w:r>
        <w:rPr>
          <w:i/>
          <w:color w:val="555555"/>
          <w:sz w:val="18"/>
        </w:rPr>
        <w:t>Listing 1: AI Use Disclosure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