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Associates,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Documented per-provider production across the network grew from $380,710 in 2021 to $624,640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practitioners in the role.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decentralized infrastructure for sovereign data governance encompassing five infrastructure components: EncryptHealth (unified entry point with wallet-based authentication), HypnoNeuro (hypnotherapy and neurotransmitter-based wellness sessions with 45 browser-based therapeutic games (15 per level across L1 Hypnosis, L2 Orthomolecular, and L3 Inner Child)), SovereignLedger (health data governance infrastructure), AlchemistForge (shadow work and on-chain verified personal transformation), and NeuroBalance (backend wellness intelligence layer). Eight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 "How people can maintain ownership of their medical data and only share it on a need-to-know basis" -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p>
    <w:p>
      <w:pPr>
        <w:spacing w:after="120"/>
      </w:pPr>
    </w:p>
    <w:p>
      <w:pPr>
        <w:spacing w:after="120"/>
      </w:pPr>
      <w:r>
        <w:t>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HIPAA-regulated behavioral health as the highest-bar test case — though FSL itself holds no Protected Health Information by architectural design for a generalizable design pattern? Second: how do tokenized incentive structures - specifically earned-only token models, NFT-based access tiers, and community contribution mechanisms - affect Sovereign Guide participation and sustained participant engagement in decentralized infrastructure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r>
        <w:t xml:space="preserve">The 45 therapeutic engagement sessions currently deployed across HypnoNeuro’s three protocol layers (L1 GABA/endocannabinoid, L2 orthomolecular, L3 inner child healing) are functional infrastructure scaffolds — the wallet gating, HNT minting on completion, and on-chain achievement system are fully operational. The DEng applied research contribution is the protocol depth layer: EMDR, EFT, somatic visualization, and AI-adaptive wearable-integrated protocols designed in collaboration with faculty whose research domains directly map to FSL’s therapeutic architecture. Dr. Hassan Ghasemzadeh’s work in AI-powered wearable sensors and orthomolecular AI refinement represents the precise intersection where FSL’s infrastructure meets the clinical depth it was designed to carry. The current sessions are not the research — they are the proving ground the research will run on.</w:t>
      </w:r>
    </w:p>
    <w:p>
      <w:pPr>
        <w:spacing w:after="120"/>
      </w:pPr>
      <w:r>
        <w:t xml:space="preserve">SovereignSession Phases 1–4 establish the technical foundation for a sovereign wellness metaverse: individual therapeutic sessions converging with group support spaces, all avatar-mediated, all wallet-native, all pseudonymous. Phase 5 (encrypted recording with participant-controlled keys) and the subsequent avatar layer represent the frontier engineering problems the DEng research program is designed to address — problems that require both doctoral-level rigor and the applied infrastructure already deployed to solve them.</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