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Associates,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Documented per-provider production across the network grew from $380,710 in 2021 to $624,640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practitioners in the role.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rPr/>
        <w:t>FSL is live. It is not a prototype, a pitch deck, or a grant proposal. It is a deployed, multi-platform Web3 decentralized infrastructure for sovereign data governance encompassing five infrastructure components: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 The architectural pattern underlying this work is the subject of U.S. Provisional Patent Application No. 64/063,037, filed 11 May 2026.</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HIPAA-regulated behavioral health as the highest-bar test case — though FSL itself holds no Protected Health Information by architectural design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rPr/>
        <w:t>I welcome the opportunity to work with Arizona State University and am deeply grateful for the consideration.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