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Associates,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Documented per-provider production across the network grew from $380,710 in 2021 to $624,640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practitioners in the role.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decentralized infrastructure for sovereign data governance encompassing five infrastructure components: EncryptHealth (unified entry point with wallet-based authentication), HypnoNeuro (hypnotherapy and neurotransmitter-based wellness sessions with 45 browser-based therapeutic games (15 per level across L1 Hypnosis, L2 Orthomolecular, and L3 Inner Child)),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HIPAA-regulated behavioral health as the highest-bar test case — though FSL itself holds no Protected Health Information by architectural design for a generalizable design pattern? Second: how do tokenized incentive structures - specifically earned-only token models, NFT-based access tiers, and community contribution mechanisms - affect Sovereign Guide participation and sustained participant engagement in decentralized infrastructure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