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1" w:name="content"/>
    <w:bookmarkStart w:id="150" w:name="X31cb1bbfef4928702aaf256e46427fc79fa7a5a"/>
    <w:p>
      <w:pPr>
        <w:pStyle w:val="Heading1"/>
      </w:pPr>
      <w:r>
        <w:t xml:space="preserve">NextGenSense AI Media Operating System Constitution</w:t>
      </w:r>
    </w:p>
    <w:p>
      <w:pPr>
        <w:pStyle w:val="FirstParagraph"/>
      </w:pPr>
      <w:r>
        <w:rPr>
          <w:b/>
          <w:bCs/>
        </w:rPr>
        <w:t xml:space="preserve">Version 1.0 – June 2026</w:t>
      </w:r>
    </w:p>
    <w:p>
      <w:pPr>
        <w:pStyle w:val="BodyText"/>
      </w:pPr>
      <w:r>
        <w:t xml:space="preserve">This constitution defines the mission, principles, architecture and workflows that guide the design, development and operation of</w:t>
      </w:r>
      <w:r>
        <w:t xml:space="preserve"> </w:t>
      </w:r>
      <w:r>
        <w:rPr>
          <w:b/>
          <w:bCs/>
        </w:rPr>
        <w:t xml:space="preserve">NextGenSense</w:t>
      </w:r>
      <w:r>
        <w:t xml:space="preserve">’s AI‑driven investigative media platform. It serves as the single source of truth for every decision—from colours and typography to automation and content publishing. Following this constitution ensures that all work reinforces NextGenSense’s brand, maintains accessibility and scalability, and reduces future effort through reuse and automation.</w:t>
      </w:r>
    </w:p>
    <w:p>
      <w:pPr>
        <w:pStyle w:val="BlockText"/>
      </w:pPr>
      <w:r>
        <w:rPr>
          <w:b/>
          <w:bCs/>
        </w:rPr>
        <w:t xml:space="preserve">Note on citations:</w:t>
      </w:r>
      <w:r>
        <w:t xml:space="preserve"> </w:t>
      </w:r>
      <w:r>
        <w:t xml:space="preserve">To ground this constitution in industry‑accepted guidelines, references from established design systems and accessibility resources are included. For example, Section 508 and WCAG 2.0 specify that normal‑sized text must have a contrast ratio of</w:t>
      </w:r>
      <w:r>
        <w:t xml:space="preserve"> </w:t>
      </w:r>
      <w:r>
        <w:rPr>
          <w:b/>
          <w:bCs/>
        </w:rPr>
        <w:t xml:space="preserve">4.5 : 1</w:t>
      </w:r>
      <w:r>
        <w:t xml:space="preserve"> </w:t>
      </w:r>
      <w:r>
        <w:t xml:space="preserve">and large text (≥19 px bold or ≥24 px normal) must have a contrast of</w:t>
      </w:r>
      <w:r>
        <w:t xml:space="preserve"> </w:t>
      </w:r>
      <w:r>
        <w:rPr>
          <w:b/>
          <w:bCs/>
        </w:rPr>
        <w:t xml:space="preserve">3 : 1</w:t>
      </w:r>
      <w:hyperlink r:id="rId21">
        <w:r>
          <w:rPr>
            <w:rStyle w:val="Hyperlink"/>
          </w:rPr>
          <w:t xml:space="preserve">[1]</w:t>
        </w:r>
      </w:hyperlink>
      <w:r>
        <w:t xml:space="preserve">. Design tokens are defined as the smallest, indivisible units of a design system—visual atoms representing values like colours, typography and spacing</w:t>
      </w:r>
      <w:hyperlink r:id="rId22">
        <w:r>
          <w:rPr>
            <w:rStyle w:val="Hyperlink"/>
          </w:rPr>
          <w:t xml:space="preserve">[2]</w:t>
        </w:r>
      </w:hyperlink>
      <w:r>
        <w:t xml:space="preserve">. Such principles inform our decisions throughout this document.</w:t>
      </w:r>
    </w:p>
    <w:p>
      <w:r>
        <w:pict>
          <v:rect style="width:0;height:1.5pt" o:hralign="center" o:hrstd="t" o:hr="t"/>
        </w:pict>
      </w:r>
    </w:p>
    <w:bookmarkStart w:id="23" w:name="section-1-mission"/>
    <w:p>
      <w:pPr>
        <w:pStyle w:val="Heading2"/>
      </w:pPr>
      <w:r>
        <w:t xml:space="preserve">Section 1 – Mission</w:t>
      </w:r>
    </w:p>
    <w:p>
      <w:pPr>
        <w:pStyle w:val="FirstParagraph"/>
      </w:pPr>
      <w:r>
        <w:t xml:space="preserve">NextGenSense is an AI‑native media network dedicated to investigating the impact of artificial intelligence across industry, government and society. We uncover stories about AI crime, surveillance, ethics and accountability, and we publish them in ways that are accessible, authoritative and data‑driven. The</w:t>
      </w:r>
      <w:r>
        <w:t xml:space="preserve"> </w:t>
      </w:r>
      <w:r>
        <w:rPr>
          <w:b/>
          <w:bCs/>
        </w:rPr>
        <w:t xml:space="preserve">NextGenSense Operating System (NGOS)</w:t>
      </w:r>
      <w:r>
        <w:t xml:space="preserve"> </w:t>
      </w:r>
      <w:r>
        <w:t xml:space="preserve">exists to:</w:t>
      </w:r>
    </w:p>
    <w:p>
      <w:pPr>
        <w:pStyle w:val="Compact"/>
        <w:numPr>
          <w:ilvl w:val="0"/>
          <w:numId w:val="1001"/>
        </w:numPr>
      </w:pPr>
      <w:r>
        <w:rPr>
          <w:b/>
          <w:bCs/>
        </w:rPr>
        <w:t xml:space="preserve">Democratise knowledge.</w:t>
      </w:r>
      <w:r>
        <w:t xml:space="preserve"> </w:t>
      </w:r>
      <w:r>
        <w:t xml:space="preserve">Make complex AI topics understandable and actionable for global audiences. We deliver not just stories but supporting documents, evidence and analysis.</w:t>
      </w:r>
    </w:p>
    <w:p>
      <w:pPr>
        <w:pStyle w:val="Compact"/>
        <w:numPr>
          <w:ilvl w:val="0"/>
          <w:numId w:val="1001"/>
        </w:numPr>
      </w:pPr>
      <w:r>
        <w:rPr>
          <w:b/>
          <w:bCs/>
        </w:rPr>
        <w:t xml:space="preserve">Promote transparency and accountability.</w:t>
      </w:r>
      <w:r>
        <w:t xml:space="preserve"> </w:t>
      </w:r>
      <w:r>
        <w:t xml:space="preserve">Our investigations illuminate corporate and governmental behaviour in AI and empower stakeholders to act ethically.</w:t>
      </w:r>
    </w:p>
    <w:p>
      <w:pPr>
        <w:pStyle w:val="Compact"/>
        <w:numPr>
          <w:ilvl w:val="0"/>
          <w:numId w:val="1001"/>
        </w:numPr>
      </w:pPr>
      <w:r>
        <w:rPr>
          <w:b/>
          <w:bCs/>
        </w:rPr>
        <w:t xml:space="preserve">Leverage AI for good.</w:t>
      </w:r>
      <w:r>
        <w:t xml:space="preserve"> </w:t>
      </w:r>
      <w:r>
        <w:t xml:space="preserve">We employ AI responsibly to accelerate research, fact‑checking, content generation and distribution, without replacing human judgment.</w:t>
      </w:r>
    </w:p>
    <w:p>
      <w:pPr>
        <w:pStyle w:val="Compact"/>
        <w:numPr>
          <w:ilvl w:val="0"/>
          <w:numId w:val="1001"/>
        </w:numPr>
      </w:pPr>
      <w:r>
        <w:rPr>
          <w:b/>
          <w:bCs/>
        </w:rPr>
        <w:t xml:space="preserve">Enable scalability and sustainability.</w:t>
      </w:r>
      <w:r>
        <w:t xml:space="preserve"> </w:t>
      </w:r>
      <w:r>
        <w:t xml:space="preserve">The operating system allows NextGenSense to produce thousands of stories across formats—articles, videos, podcasts, social posts—while maintaining quality and design consistency.</w:t>
      </w:r>
    </w:p>
    <w:p>
      <w:pPr>
        <w:pStyle w:val="Compact"/>
        <w:numPr>
          <w:ilvl w:val="0"/>
          <w:numId w:val="1001"/>
        </w:numPr>
      </w:pPr>
      <w:r>
        <w:rPr>
          <w:b/>
          <w:bCs/>
        </w:rPr>
        <w:t xml:space="preserve">Set a benchmark for AI journalism.</w:t>
      </w:r>
      <w:r>
        <w:t xml:space="preserve"> </w:t>
      </w:r>
      <w:r>
        <w:t xml:space="preserve">Through our design system, automation engine and content workflows, we establish an industry‑leading model for AI‑powered media operations.</w:t>
      </w:r>
    </w:p>
    <w:bookmarkEnd w:id="23"/>
    <w:bookmarkStart w:id="25" w:name="section-2-nonnegotiables"/>
    <w:p>
      <w:pPr>
        <w:pStyle w:val="Heading2"/>
      </w:pPr>
      <w:r>
        <w:t xml:space="preserve">Section 2 – Non‑Negotiables</w:t>
      </w:r>
    </w:p>
    <w:p>
      <w:pPr>
        <w:pStyle w:val="FirstParagraph"/>
      </w:pPr>
      <w:r>
        <w:t xml:space="preserve">The following are fundamental principles that cannot be compromised. They guide all decisions, from typography selection to database architecture.</w:t>
      </w:r>
    </w:p>
    <w:p>
      <w:pPr>
        <w:pStyle w:val="Compact"/>
        <w:numPr>
          <w:ilvl w:val="0"/>
          <w:numId w:val="1002"/>
        </w:numPr>
      </w:pPr>
      <w:r>
        <w:rPr>
          <w:b/>
          <w:bCs/>
        </w:rPr>
        <w:t xml:space="preserve">Accessibility compliance.</w:t>
      </w:r>
      <w:r>
        <w:t xml:space="preserve"> </w:t>
      </w:r>
      <w:r>
        <w:t xml:space="preserve">All content must meet or exceed WCAG 2.1 AA standards. This includes adhering to contrast ratios (4.5 : 1 for normal text and 3 : 1 for large text</w:t>
      </w:r>
      <w:hyperlink r:id="rId21">
        <w:r>
          <w:rPr>
            <w:rStyle w:val="Hyperlink"/>
          </w:rPr>
          <w:t xml:space="preserve">[1]</w:t>
        </w:r>
      </w:hyperlink>
      <w:r>
        <w:t xml:space="preserve">), providing text alternatives for media, enabling keyboard navigation and ensuring focus states are visible. Colour cannot be the sole means of conveying information; avoid relying solely on red/green differences given the prevalence of colour deficiencies</w:t>
      </w:r>
      <w:hyperlink r:id="rId24">
        <w:r>
          <w:rPr>
            <w:rStyle w:val="Hyperlink"/>
          </w:rPr>
          <w:t xml:space="preserve">[3]</w:t>
        </w:r>
      </w:hyperlink>
      <w:r>
        <w:t xml:space="preserve">.</w:t>
      </w:r>
    </w:p>
    <w:p>
      <w:pPr>
        <w:pStyle w:val="Compact"/>
        <w:numPr>
          <w:ilvl w:val="0"/>
          <w:numId w:val="1002"/>
        </w:numPr>
      </w:pPr>
      <w:r>
        <w:rPr>
          <w:b/>
          <w:bCs/>
        </w:rPr>
        <w:t xml:space="preserve">Design token consistency.</w:t>
      </w:r>
      <w:r>
        <w:t xml:space="preserve"> </w:t>
      </w:r>
      <w:r>
        <w:t xml:space="preserve">Every aesthetic value—colours, typography, spacing, radii, shadows—is expressed as a design token. These are the “visual atoms” of the system</w:t>
      </w:r>
      <w:hyperlink r:id="rId22">
        <w:r>
          <w:rPr>
            <w:rStyle w:val="Hyperlink"/>
          </w:rPr>
          <w:t xml:space="preserve">[2]</w:t>
        </w:r>
      </w:hyperlink>
      <w:r>
        <w:t xml:space="preserve">. Tokens must be stored in a single source of truth and propagated across Figma, Canva, Elementor and CSS.</w:t>
      </w:r>
    </w:p>
    <w:p>
      <w:pPr>
        <w:pStyle w:val="Compact"/>
        <w:numPr>
          <w:ilvl w:val="0"/>
          <w:numId w:val="1002"/>
        </w:numPr>
      </w:pPr>
      <w:r>
        <w:rPr>
          <w:b/>
          <w:bCs/>
        </w:rPr>
        <w:t xml:space="preserve">Automation first.</w:t>
      </w:r>
      <w:r>
        <w:t xml:space="preserve"> </w:t>
      </w:r>
      <w:r>
        <w:t xml:space="preserve">Always ask: can this process be automated? If a task is repeatable, we invest upfront to script it. Manual work is reserved for creative judgment and oversight.</w:t>
      </w:r>
    </w:p>
    <w:p>
      <w:pPr>
        <w:pStyle w:val="Compact"/>
        <w:numPr>
          <w:ilvl w:val="0"/>
          <w:numId w:val="1002"/>
        </w:numPr>
      </w:pPr>
      <w:r>
        <w:rPr>
          <w:b/>
          <w:bCs/>
        </w:rPr>
        <w:t xml:space="preserve">Global before local.</w:t>
      </w:r>
      <w:r>
        <w:t xml:space="preserve"> </w:t>
      </w:r>
      <w:r>
        <w:t xml:space="preserve">Default styles, settings and variables must be configured globally before designing specific pages or components. Global configuration avoids redundancy and ensures consistent updates.</w:t>
      </w:r>
    </w:p>
    <w:p>
      <w:pPr>
        <w:pStyle w:val="Compact"/>
        <w:numPr>
          <w:ilvl w:val="0"/>
          <w:numId w:val="1002"/>
        </w:numPr>
      </w:pPr>
      <w:r>
        <w:rPr>
          <w:b/>
          <w:bCs/>
        </w:rPr>
        <w:t xml:space="preserve">Dynamic content.</w:t>
      </w:r>
      <w:r>
        <w:t xml:space="preserve"> </w:t>
      </w:r>
      <w:r>
        <w:t xml:space="preserve">Templates must be driven by data. Hard‑coded content is forbidden unless it is truly static (e.g., mission statement). Use WordPress custom post types (CPT) and ACF fields to store and retrieve data.</w:t>
      </w:r>
    </w:p>
    <w:p>
      <w:pPr>
        <w:pStyle w:val="Compact"/>
        <w:numPr>
          <w:ilvl w:val="0"/>
          <w:numId w:val="1002"/>
        </w:numPr>
      </w:pPr>
      <w:r>
        <w:rPr>
          <w:b/>
          <w:bCs/>
        </w:rPr>
        <w:t xml:space="preserve">Scalability.</w:t>
      </w:r>
      <w:r>
        <w:t xml:space="preserve"> </w:t>
      </w:r>
      <w:r>
        <w:t xml:space="preserve">Every pattern must scale to thousands of stories and assets. We choose solutions that work at enterprise volume, support multi‑user collaboration and integrate with external APIs.</w:t>
      </w:r>
    </w:p>
    <w:p>
      <w:pPr>
        <w:pStyle w:val="Compact"/>
        <w:numPr>
          <w:ilvl w:val="0"/>
          <w:numId w:val="1002"/>
        </w:numPr>
      </w:pPr>
      <w:r>
        <w:rPr>
          <w:b/>
          <w:bCs/>
        </w:rPr>
        <w:t xml:space="preserve">Security and privacy.</w:t>
      </w:r>
      <w:r>
        <w:t xml:space="preserve"> </w:t>
      </w:r>
      <w:r>
        <w:t xml:space="preserve">All processes must protect sensitive information, respect user privacy and meet legal requirements for data handling. We adopt secure coding practices and robust access control.</w:t>
      </w:r>
    </w:p>
    <w:p>
      <w:pPr>
        <w:pStyle w:val="Compact"/>
        <w:numPr>
          <w:ilvl w:val="0"/>
          <w:numId w:val="1002"/>
        </w:numPr>
      </w:pPr>
      <w:r>
        <w:rPr>
          <w:b/>
          <w:bCs/>
        </w:rPr>
        <w:t xml:space="preserve">Performance.</w:t>
      </w:r>
      <w:r>
        <w:t xml:space="preserve"> </w:t>
      </w:r>
      <w:r>
        <w:t xml:space="preserve">Pages must load quickly and perform well on all devices. Use lazy loading, minified assets, responsive images and caching. Design tokens support performance by abstracting values and enabling efficient theming.</w:t>
      </w:r>
    </w:p>
    <w:p>
      <w:pPr>
        <w:pStyle w:val="Compact"/>
        <w:numPr>
          <w:ilvl w:val="0"/>
          <w:numId w:val="1002"/>
        </w:numPr>
      </w:pPr>
      <w:r>
        <w:rPr>
          <w:b/>
          <w:bCs/>
        </w:rPr>
        <w:t xml:space="preserve">Version control and documentation.</w:t>
      </w:r>
      <w:r>
        <w:t xml:space="preserve"> </w:t>
      </w:r>
      <w:r>
        <w:t xml:space="preserve">Every file—design, code or document—must be versioned. All decisions must be documented, including the rationale, alternatives considered and dependencies.</w:t>
      </w:r>
    </w:p>
    <w:p>
      <w:pPr>
        <w:pStyle w:val="Compact"/>
        <w:numPr>
          <w:ilvl w:val="0"/>
          <w:numId w:val="1002"/>
        </w:numPr>
      </w:pPr>
      <w:r>
        <w:rPr>
          <w:b/>
          <w:bCs/>
        </w:rPr>
        <w:t xml:space="preserve">Inclusivity and ethical AI.</w:t>
      </w:r>
      <w:r>
        <w:t xml:space="preserve"> </w:t>
      </w:r>
      <w:r>
        <w:t xml:space="preserve">We remain conscious of the social impact of our work. We avoid biased language or imagery and audit our AI pipelines for fairness.</w:t>
      </w:r>
    </w:p>
    <w:bookmarkEnd w:id="25"/>
    <w:bookmarkStart w:id="26" w:name="section-3-project-goals"/>
    <w:p>
      <w:pPr>
        <w:pStyle w:val="Heading2"/>
      </w:pPr>
      <w:r>
        <w:t xml:space="preserve">Section 3 – Project Goals</w:t>
      </w:r>
    </w:p>
    <w:p>
      <w:pPr>
        <w:pStyle w:val="Compact"/>
        <w:numPr>
          <w:ilvl w:val="0"/>
          <w:numId w:val="1003"/>
        </w:numPr>
      </w:pPr>
      <w:r>
        <w:rPr>
          <w:b/>
          <w:bCs/>
        </w:rPr>
        <w:t xml:space="preserve">Build NGOS:</w:t>
      </w:r>
      <w:r>
        <w:t xml:space="preserve"> </w:t>
      </w:r>
      <w:r>
        <w:t xml:space="preserve">Develop a comprehensive operating system combining the design system, content management framework, automation engine, user interface toolkit, brand system, media engine and AI agent suite.</w:t>
      </w:r>
    </w:p>
    <w:p>
      <w:pPr>
        <w:pStyle w:val="Compact"/>
        <w:numPr>
          <w:ilvl w:val="0"/>
          <w:numId w:val="1003"/>
        </w:numPr>
      </w:pPr>
      <w:r>
        <w:rPr>
          <w:b/>
          <w:bCs/>
        </w:rPr>
        <w:t xml:space="preserve">Launch NextGenSense.com:</w:t>
      </w:r>
      <w:r>
        <w:t xml:space="preserve"> </w:t>
      </w:r>
      <w:r>
        <w:t xml:space="preserve">Configure WordPress, Elementor and all required plugins to publish stories dynamically with minimal manual intervention. Build global templates for investigations, companies, technologies, documents and people.</w:t>
      </w:r>
    </w:p>
    <w:p>
      <w:pPr>
        <w:pStyle w:val="Compact"/>
        <w:numPr>
          <w:ilvl w:val="0"/>
          <w:numId w:val="1003"/>
        </w:numPr>
      </w:pPr>
      <w:r>
        <w:rPr>
          <w:b/>
          <w:bCs/>
        </w:rPr>
        <w:t xml:space="preserve">Establish design and brand standards:</w:t>
      </w:r>
      <w:r>
        <w:t xml:space="preserve"> </w:t>
      </w:r>
      <w:r>
        <w:t xml:space="preserve">Create colour scales, typography scales, spacing scales and component libraries that reflect NextGenSense’s dark, cyber‑journalistic aesthetic while maintaining readability and accessibility.</w:t>
      </w:r>
    </w:p>
    <w:p>
      <w:pPr>
        <w:pStyle w:val="Compact"/>
        <w:numPr>
          <w:ilvl w:val="0"/>
          <w:numId w:val="1003"/>
        </w:numPr>
      </w:pPr>
      <w:r>
        <w:rPr>
          <w:b/>
          <w:bCs/>
        </w:rPr>
        <w:t xml:space="preserve">Automate content production:</w:t>
      </w:r>
      <w:r>
        <w:t xml:space="preserve"> </w:t>
      </w:r>
      <w:r>
        <w:t xml:space="preserve">Implement AI‑powered workflows for research, drafting, fact‑checking, metadata generation, image creation and multi‑channel publishing. Use Google Sheets, OpenRouter or other AI connectors to feed WordPress and Canva.</w:t>
      </w:r>
    </w:p>
    <w:p>
      <w:pPr>
        <w:pStyle w:val="Compact"/>
        <w:numPr>
          <w:ilvl w:val="0"/>
          <w:numId w:val="1003"/>
        </w:numPr>
      </w:pPr>
      <w:r>
        <w:rPr>
          <w:b/>
          <w:bCs/>
        </w:rPr>
        <w:t xml:space="preserve">Generate ready‑to‑use assets:</w:t>
      </w:r>
      <w:r>
        <w:t xml:space="preserve"> </w:t>
      </w:r>
      <w:r>
        <w:t xml:space="preserve">Produce reusable assets (badges, labels, cards, templates) across mediums—web, social, video, email—and ensure they are fully editable in Figma and Canva.</w:t>
      </w:r>
    </w:p>
    <w:p>
      <w:pPr>
        <w:pStyle w:val="Compact"/>
        <w:numPr>
          <w:ilvl w:val="0"/>
          <w:numId w:val="1003"/>
        </w:numPr>
      </w:pPr>
      <w:r>
        <w:rPr>
          <w:b/>
          <w:bCs/>
        </w:rPr>
        <w:t xml:space="preserve">Create a launch roadmap:</w:t>
      </w:r>
      <w:r>
        <w:t xml:space="preserve"> </w:t>
      </w:r>
      <w:r>
        <w:t xml:space="preserve">Outline all tasks, dependencies, and timelines required to go live. Include pre‑launch testing, SEO, analytics setup, security hardening and post‑launch monitoring.</w:t>
      </w:r>
    </w:p>
    <w:p>
      <w:pPr>
        <w:pStyle w:val="Compact"/>
        <w:numPr>
          <w:ilvl w:val="0"/>
          <w:numId w:val="1003"/>
        </w:numPr>
      </w:pPr>
      <w:r>
        <w:rPr>
          <w:b/>
          <w:bCs/>
        </w:rPr>
        <w:t xml:space="preserve">Plan for growth:</w:t>
      </w:r>
      <w:r>
        <w:t xml:space="preserve"> </w:t>
      </w:r>
      <w:r>
        <w:t xml:space="preserve">Design a roadmap for future features, including membership systems, advanced search, data visualisations, AI explainers, interactive timelines and open APIs.</w:t>
      </w:r>
    </w:p>
    <w:bookmarkEnd w:id="26"/>
    <w:bookmarkStart w:id="27" w:name="section-4-source-of-truth"/>
    <w:p>
      <w:pPr>
        <w:pStyle w:val="Heading2"/>
      </w:pPr>
      <w:r>
        <w:t xml:space="preserve">Section 4 – Source of Truth</w:t>
      </w:r>
    </w:p>
    <w:p>
      <w:pPr>
        <w:pStyle w:val="FirstParagraph"/>
      </w:pPr>
      <w:r>
        <w:t xml:space="preserve">To prevent drift and duplication, we maintain canonical repositories of design and content. All tools must reference these sources instead of creating local copies.</w:t>
      </w:r>
    </w:p>
    <w:p>
      <w:pPr>
        <w:pStyle w:val="Compact"/>
        <w:numPr>
          <w:ilvl w:val="0"/>
          <w:numId w:val="1004"/>
        </w:numPr>
      </w:pPr>
      <w:r>
        <w:rPr>
          <w:b/>
          <w:bCs/>
        </w:rPr>
        <w:t xml:space="preserve">Design tokens repository:</w:t>
      </w:r>
      <w:r>
        <w:t xml:space="preserve"> </w:t>
      </w:r>
      <w:r>
        <w:t xml:space="preserve">A version‑controlled JSON or YAML file containing the definitive list of colours, typography, spacing, radii, shadows and other design decisions. This file syncs to Figma variables, Canva brand kit, Elementor global variables and CSS variables.</w:t>
      </w:r>
    </w:p>
    <w:p>
      <w:pPr>
        <w:pStyle w:val="Compact"/>
        <w:numPr>
          <w:ilvl w:val="0"/>
          <w:numId w:val="1004"/>
        </w:numPr>
      </w:pPr>
      <w:r>
        <w:rPr>
          <w:b/>
          <w:bCs/>
        </w:rPr>
        <w:t xml:space="preserve">Figma library:</w:t>
      </w:r>
      <w:r>
        <w:t xml:space="preserve"> </w:t>
      </w:r>
      <w:r>
        <w:t xml:space="preserve">Stores master components, UI templates, icons and prototypes. Components in Figma link back to design tokens. The Figma library must be reviewed and published after updates.</w:t>
      </w:r>
    </w:p>
    <w:p>
      <w:pPr>
        <w:pStyle w:val="Compact"/>
        <w:numPr>
          <w:ilvl w:val="0"/>
          <w:numId w:val="1004"/>
        </w:numPr>
      </w:pPr>
      <w:r>
        <w:rPr>
          <w:b/>
          <w:bCs/>
        </w:rPr>
        <w:t xml:space="preserve">Canva brand kit:</w:t>
      </w:r>
      <w:r>
        <w:t xml:space="preserve"> </w:t>
      </w:r>
      <w:r>
        <w:t xml:space="preserve">Holds colours, fonts and logos for social media and video templates. Canva templates reference design tokens via style definitions where possible.</w:t>
      </w:r>
    </w:p>
    <w:p>
      <w:pPr>
        <w:pStyle w:val="Compact"/>
        <w:numPr>
          <w:ilvl w:val="0"/>
          <w:numId w:val="1004"/>
        </w:numPr>
      </w:pPr>
      <w:r>
        <w:rPr>
          <w:b/>
          <w:bCs/>
        </w:rPr>
        <w:t xml:space="preserve">WordPress configuration repository:</w:t>
      </w:r>
      <w:r>
        <w:t xml:space="preserve"> </w:t>
      </w:r>
      <w:r>
        <w:t xml:space="preserve">Contains all theme files, plugin settings (exported via JSON or XML), CPT definitions, ACF JSON files and Elementor templates. It functions as infrastructure as code for the site.</w:t>
      </w:r>
    </w:p>
    <w:p>
      <w:pPr>
        <w:pStyle w:val="Compact"/>
        <w:numPr>
          <w:ilvl w:val="0"/>
          <w:numId w:val="1004"/>
        </w:numPr>
      </w:pPr>
      <w:r>
        <w:rPr>
          <w:b/>
          <w:bCs/>
        </w:rPr>
        <w:t xml:space="preserve">Content schema:</w:t>
      </w:r>
      <w:r>
        <w:t xml:space="preserve"> </w:t>
      </w:r>
      <w:r>
        <w:t xml:space="preserve">Documented definitions of all CPTs, taxonomies, metadata fields and relationships. Each field includes purpose, type, validation rules, default values and display mapping.</w:t>
      </w:r>
    </w:p>
    <w:p>
      <w:pPr>
        <w:pStyle w:val="Compact"/>
        <w:numPr>
          <w:ilvl w:val="0"/>
          <w:numId w:val="1004"/>
        </w:numPr>
      </w:pPr>
      <w:r>
        <w:rPr>
          <w:b/>
          <w:bCs/>
        </w:rPr>
        <w:t xml:space="preserve">Automation scripts repository:</w:t>
      </w:r>
      <w:r>
        <w:t xml:space="preserve"> </w:t>
      </w:r>
      <w:r>
        <w:t xml:space="preserve">Houses Apps Script, OpenRouter prompts, custom plugins and CLI scripts for automation tasks.</w:t>
      </w:r>
    </w:p>
    <w:p>
      <w:pPr>
        <w:pStyle w:val="Compact"/>
        <w:numPr>
          <w:ilvl w:val="0"/>
          <w:numId w:val="1004"/>
        </w:numPr>
      </w:pPr>
      <w:r>
        <w:rPr>
          <w:b/>
          <w:bCs/>
        </w:rPr>
        <w:t xml:space="preserve">Brand guidelines:</w:t>
      </w:r>
      <w:r>
        <w:t xml:space="preserve"> </w:t>
      </w:r>
      <w:r>
        <w:t xml:space="preserve">PDF documents describing visual and verbal identity, including mission, values, tone of voice, photography and illustration guidelines.</w:t>
      </w:r>
    </w:p>
    <w:p>
      <w:pPr>
        <w:pStyle w:val="Compact"/>
        <w:numPr>
          <w:ilvl w:val="0"/>
          <w:numId w:val="1004"/>
        </w:numPr>
      </w:pPr>
      <w:r>
        <w:rPr>
          <w:b/>
          <w:bCs/>
        </w:rPr>
        <w:t xml:space="preserve">Legal &amp; compliance docs:</w:t>
      </w:r>
      <w:r>
        <w:t xml:space="preserve"> </w:t>
      </w:r>
      <w:r>
        <w:t xml:space="preserve">Policies on privacy, data retention, accessibility, AI ethics and editorial standards.</w:t>
      </w:r>
    </w:p>
    <w:p>
      <w:pPr>
        <w:pStyle w:val="FirstParagraph"/>
      </w:pPr>
      <w:r>
        <w:t xml:space="preserve">Any change to the operating system must update the relevant source of truth. When conflicts occur between documents, the design tokens repository and content schema take precedence, followed by legal and compliance documents.</w:t>
      </w:r>
    </w:p>
    <w:bookmarkEnd w:id="27"/>
    <w:bookmarkStart w:id="38" w:name="section-5-design-philosophy"/>
    <w:p>
      <w:pPr>
        <w:pStyle w:val="Heading2"/>
      </w:pPr>
      <w:r>
        <w:t xml:space="preserve">Section 5 – Design Philosophy</w:t>
      </w:r>
    </w:p>
    <w:bookmarkStart w:id="28" w:name="embrace-visual-storytelling"/>
    <w:p>
      <w:pPr>
        <w:pStyle w:val="Heading3"/>
      </w:pPr>
      <w:r>
        <w:t xml:space="preserve">Embrace visual storytelling</w:t>
      </w:r>
    </w:p>
    <w:p>
      <w:pPr>
        <w:pStyle w:val="FirstParagraph"/>
      </w:pPr>
      <w:r>
        <w:t xml:space="preserve">NextGenSense investigates complex AI topics and reveals hidden truths. Our design must therefore not only inform but also intrigue. Visual storytelling includes interactive timelines, annotated documents and data visualisations. Design elements must guide the reader through narratives.</w:t>
      </w:r>
    </w:p>
    <w:bookmarkEnd w:id="28"/>
    <w:bookmarkStart w:id="29" w:name="dark-datadriven-aesthetic"/>
    <w:p>
      <w:pPr>
        <w:pStyle w:val="Heading3"/>
      </w:pPr>
      <w:r>
        <w:t xml:space="preserve">Dark, data‑driven aesthetic</w:t>
      </w:r>
    </w:p>
    <w:p>
      <w:pPr>
        <w:pStyle w:val="FirstParagraph"/>
      </w:pPr>
      <w:r>
        <w:t xml:space="preserve">The palette is built around</w:t>
      </w:r>
      <w:r>
        <w:t xml:space="preserve"> </w:t>
      </w:r>
      <w:r>
        <w:rPr>
          <w:b/>
          <w:bCs/>
        </w:rPr>
        <w:t xml:space="preserve">deep black</w:t>
      </w:r>
      <w:r>
        <w:t xml:space="preserve"> </w:t>
      </w:r>
      <w:r>
        <w:t xml:space="preserve">for backgrounds, with accents in</w:t>
      </w:r>
      <w:r>
        <w:t xml:space="preserve"> </w:t>
      </w:r>
      <w:r>
        <w:rPr>
          <w:b/>
          <w:bCs/>
        </w:rPr>
        <w:t xml:space="preserve">brand orange</w:t>
      </w:r>
      <w:r>
        <w:t xml:space="preserve"> </w:t>
      </w:r>
      <w:r>
        <w:t xml:space="preserve">and</w:t>
      </w:r>
      <w:r>
        <w:t xml:space="preserve"> </w:t>
      </w:r>
      <w:r>
        <w:rPr>
          <w:b/>
          <w:bCs/>
        </w:rPr>
        <w:t xml:space="preserve">electric lime</w:t>
      </w:r>
      <w:r>
        <w:t xml:space="preserve">. Orange expresses urgency and curiosity; lime conveys verification and clarity. Use neutral greys and subtle gradients to separate surfaces. Avoid heavy textures; instead, use particles, glows and geometric patterns to suggest a networked, investigative environment.</w:t>
      </w:r>
    </w:p>
    <w:bookmarkEnd w:id="29"/>
    <w:bookmarkStart w:id="31" w:name="accessibility-is-not-optional"/>
    <w:p>
      <w:pPr>
        <w:pStyle w:val="Heading3"/>
      </w:pPr>
      <w:r>
        <w:t xml:space="preserve">Accessibility is not optional</w:t>
      </w:r>
    </w:p>
    <w:p>
      <w:pPr>
        <w:pStyle w:val="FirstParagraph"/>
      </w:pPr>
      <w:r>
        <w:t xml:space="preserve">High contrast is mandatory. Section 508 and WCAG 2.0 require a contrast ratio of 4.5 : 1 for body text and 3 : 1 for large text</w:t>
      </w:r>
      <w:hyperlink r:id="rId21">
        <w:r>
          <w:rPr>
            <w:rStyle w:val="Hyperlink"/>
          </w:rPr>
          <w:t xml:space="preserve">[1]</w:t>
        </w:r>
      </w:hyperlink>
      <w:r>
        <w:t xml:space="preserve">. Use the magic number method to ensure accessible colour pairings across the palette: a difference of 50+ between colour grades yields AA contrast</w:t>
      </w:r>
      <w:hyperlink r:id="rId30">
        <w:r>
          <w:rPr>
            <w:rStyle w:val="Hyperlink"/>
          </w:rPr>
          <w:t xml:space="preserve">[4]</w:t>
        </w:r>
      </w:hyperlink>
      <w:r>
        <w:t xml:space="preserve">.</w:t>
      </w:r>
    </w:p>
    <w:bookmarkEnd w:id="31"/>
    <w:bookmarkStart w:id="32" w:name="tokenise-every-decision"/>
    <w:p>
      <w:pPr>
        <w:pStyle w:val="Heading3"/>
      </w:pPr>
      <w:r>
        <w:t xml:space="preserve">Tokenise every decision</w:t>
      </w:r>
    </w:p>
    <w:p>
      <w:pPr>
        <w:pStyle w:val="FirstParagraph"/>
      </w:pPr>
      <w:r>
        <w:t xml:space="preserve">Adopt the concept of design tokens—the smallest, indivisible design units</w:t>
      </w:r>
      <w:hyperlink r:id="rId22">
        <w:r>
          <w:rPr>
            <w:rStyle w:val="Hyperlink"/>
          </w:rPr>
          <w:t xml:space="preserve">[2]</w:t>
        </w:r>
      </w:hyperlink>
      <w:r>
        <w:t xml:space="preserve">—to encode colours, typography, spacing, shadows and more. Tokens promote consistency, enable automation and allow quick theme changes. They form the backbone of our design system.</w:t>
      </w:r>
    </w:p>
    <w:bookmarkEnd w:id="32"/>
    <w:bookmarkStart w:id="34" w:name="data-before-decoration"/>
    <w:p>
      <w:pPr>
        <w:pStyle w:val="Heading3"/>
      </w:pPr>
      <w:r>
        <w:t xml:space="preserve">Data before decoration</w:t>
      </w:r>
    </w:p>
    <w:p>
      <w:pPr>
        <w:pStyle w:val="FirstParagraph"/>
      </w:pPr>
      <w:r>
        <w:t xml:space="preserve">Begin designs in grayscale to ensure hierarchy and clarity. Introduce colour only to reinforce the message. Because 4.5 % of the population has colour deficiencies</w:t>
      </w:r>
      <w:hyperlink r:id="rId33">
        <w:r>
          <w:rPr>
            <w:rStyle w:val="Hyperlink"/>
          </w:rPr>
          <w:t xml:space="preserve">[5]</w:t>
        </w:r>
      </w:hyperlink>
      <w:r>
        <w:t xml:space="preserve">, information must be understandable without reliance on colour alone.</w:t>
      </w:r>
    </w:p>
    <w:bookmarkEnd w:id="34"/>
    <w:bookmarkStart w:id="35" w:name="progressive-enhancement"/>
    <w:p>
      <w:pPr>
        <w:pStyle w:val="Heading3"/>
      </w:pPr>
      <w:r>
        <w:t xml:space="preserve">Progressive enhancement</w:t>
      </w:r>
    </w:p>
    <w:p>
      <w:pPr>
        <w:pStyle w:val="FirstParagraph"/>
      </w:pPr>
      <w:r>
        <w:t xml:space="preserve">Design for the lowest common denominator first (e.g., simple text on dark background) and progressively enhance with animations, 3D effects or AR layers on capable devices. This approach ensures that the core story remains accessible.</w:t>
      </w:r>
    </w:p>
    <w:bookmarkEnd w:id="35"/>
    <w:bookmarkStart w:id="36" w:name="reusable-modular-components"/>
    <w:p>
      <w:pPr>
        <w:pStyle w:val="Heading3"/>
      </w:pPr>
      <w:r>
        <w:t xml:space="preserve">Reusable, modular components</w:t>
      </w:r>
    </w:p>
    <w:p>
      <w:pPr>
        <w:pStyle w:val="FirstParagraph"/>
      </w:pPr>
      <w:r>
        <w:t xml:space="preserve">Build everything from atomic units to complex organisms. If a component exists (e.g., button, card, badge), reuse it instead of rebuilding. Compose pages from templates built from these components. When a new requirement emerges, first evaluate whether an existing component can be extended.</w:t>
      </w:r>
    </w:p>
    <w:bookmarkEnd w:id="36"/>
    <w:bookmarkStart w:id="37" w:name="design-for-emotion-and-trust"/>
    <w:p>
      <w:pPr>
        <w:pStyle w:val="Heading3"/>
      </w:pPr>
      <w:r>
        <w:t xml:space="preserve">Design for emotion and trust</w:t>
      </w:r>
    </w:p>
    <w:p>
      <w:pPr>
        <w:pStyle w:val="FirstParagraph"/>
      </w:pPr>
      <w:r>
        <w:t xml:space="preserve">Investigative journalism deals with sensitive subjects. Use typography, colour and imagery to convey seriousness, urgency and credibility. Avoid sensationalism or clickbait aesthetics. Visuals like case files, redacted documents and evidence chains provide context and build trust.</w:t>
      </w:r>
    </w:p>
    <w:bookmarkEnd w:id="37"/>
    <w:bookmarkEnd w:id="38"/>
    <w:bookmarkStart w:id="39" w:name="section-6-brand-philosophy"/>
    <w:p>
      <w:pPr>
        <w:pStyle w:val="Heading2"/>
      </w:pPr>
      <w:r>
        <w:t xml:space="preserve">Section 6 – Brand Philosophy</w:t>
      </w:r>
    </w:p>
    <w:p>
      <w:pPr>
        <w:pStyle w:val="Compact"/>
        <w:numPr>
          <w:ilvl w:val="0"/>
          <w:numId w:val="1005"/>
        </w:numPr>
      </w:pPr>
      <w:r>
        <w:rPr>
          <w:b/>
          <w:bCs/>
        </w:rPr>
        <w:t xml:space="preserve">Voice and tone:</w:t>
      </w:r>
      <w:r>
        <w:t xml:space="preserve"> </w:t>
      </w:r>
      <w:r>
        <w:t xml:space="preserve">Authoritative, investigative and empathetic. The voice is direct and data‑driven; the tone shifts depending on context—urgent for breaking stories, measured for analyses, empathetic when profiling people affected by AI decisions.</w:t>
      </w:r>
    </w:p>
    <w:p>
      <w:pPr>
        <w:pStyle w:val="Compact"/>
        <w:numPr>
          <w:ilvl w:val="0"/>
          <w:numId w:val="1005"/>
        </w:numPr>
      </w:pPr>
      <w:r>
        <w:rPr>
          <w:b/>
          <w:bCs/>
        </w:rPr>
        <w:t xml:space="preserve">Visual identity:</w:t>
      </w:r>
      <w:r>
        <w:t xml:space="preserve"> </w:t>
      </w:r>
      <w:r>
        <w:t xml:space="preserve">A fusion of cyberpunk and investigative journalism. Black backgrounds with glowing lines evoke networks and data flows. Bright accent colours draw attention to key elements. Use monospaced or semi‑monospaced display typefaces for hero headlines to suggest code and research; pair with legible sans‑serif fonts for body text.</w:t>
      </w:r>
    </w:p>
    <w:p>
      <w:pPr>
        <w:pStyle w:val="Compact"/>
        <w:numPr>
          <w:ilvl w:val="0"/>
          <w:numId w:val="1005"/>
        </w:numPr>
      </w:pPr>
      <w:r>
        <w:rPr>
          <w:b/>
          <w:bCs/>
        </w:rPr>
        <w:t xml:space="preserve">Imagery:</w:t>
      </w:r>
      <w:r>
        <w:t xml:space="preserve"> </w:t>
      </w:r>
      <w:r>
        <w:t xml:space="preserve">Blend documentary photography, abstract AI visuals and custom illustrations. People should appear in contexts related to AI (laboratories, surveillance, robotics). Avoid stereotypes and sensational imagery. Use pattern overlays to suggest data analysis (e.g., halftone dots, glitch effects). Provide alt text for all images.</w:t>
      </w:r>
    </w:p>
    <w:p>
      <w:pPr>
        <w:pStyle w:val="Compact"/>
        <w:numPr>
          <w:ilvl w:val="0"/>
          <w:numId w:val="1005"/>
        </w:numPr>
      </w:pPr>
      <w:r>
        <w:rPr>
          <w:b/>
          <w:bCs/>
        </w:rPr>
        <w:t xml:space="preserve">Motion:</w:t>
      </w:r>
      <w:r>
        <w:t xml:space="preserve"> </w:t>
      </w:r>
      <w:r>
        <w:t xml:space="preserve">Subtle and purposeful. Animations should reinforce hierarchy or illustrate data flows. Avoid distracting or purely decorative motion. Use micro‑interactions to signal state changes (e.g., filter activation, content expansion).</w:t>
      </w:r>
    </w:p>
    <w:p>
      <w:pPr>
        <w:pStyle w:val="Compact"/>
        <w:numPr>
          <w:ilvl w:val="0"/>
          <w:numId w:val="1005"/>
        </w:numPr>
      </w:pPr>
      <w:r>
        <w:rPr>
          <w:b/>
          <w:bCs/>
        </w:rPr>
        <w:t xml:space="preserve">Inclusivity:</w:t>
      </w:r>
      <w:r>
        <w:t xml:space="preserve"> </w:t>
      </w:r>
      <w:r>
        <w:t xml:space="preserve">Represent diverse voices and experiences. Avoid gendered language or images; include global perspectives; provide translations and localisations where appropriate.</w:t>
      </w:r>
    </w:p>
    <w:p>
      <w:pPr>
        <w:pStyle w:val="Compact"/>
        <w:numPr>
          <w:ilvl w:val="0"/>
          <w:numId w:val="1005"/>
        </w:numPr>
      </w:pPr>
      <w:r>
        <w:rPr>
          <w:b/>
          <w:bCs/>
        </w:rPr>
        <w:t xml:space="preserve">Ethical AI:</w:t>
      </w:r>
      <w:r>
        <w:t xml:space="preserve"> </w:t>
      </w:r>
      <w:r>
        <w:t xml:space="preserve">When using generative AI for images or text, ensure prompts avoid replicating biases. Fact‑check AI‑generated content. Disclose when AI is used in content creation.</w:t>
      </w:r>
    </w:p>
    <w:bookmarkEnd w:id="39"/>
    <w:bookmarkStart w:id="40" w:name="section-7-system-thinking"/>
    <w:p>
      <w:pPr>
        <w:pStyle w:val="Heading2"/>
      </w:pPr>
      <w:r>
        <w:t xml:space="preserve">Section 7 – System Thinking</w:t>
      </w:r>
    </w:p>
    <w:p>
      <w:pPr>
        <w:pStyle w:val="FirstParagraph"/>
      </w:pPr>
      <w:r>
        <w:t xml:space="preserve">NextGenSense’s operating system is more than a collection of assets—it is a cohesive ecosystem where decisions ripple across layers. System thinking involves:</w:t>
      </w:r>
    </w:p>
    <w:p>
      <w:pPr>
        <w:pStyle w:val="Compact"/>
        <w:numPr>
          <w:ilvl w:val="0"/>
          <w:numId w:val="1006"/>
        </w:numPr>
      </w:pPr>
      <w:r>
        <w:rPr>
          <w:b/>
          <w:bCs/>
        </w:rPr>
        <w:t xml:space="preserve">Atomic design:</w:t>
      </w:r>
      <w:r>
        <w:t xml:space="preserve"> </w:t>
      </w:r>
      <w:r>
        <w:t xml:space="preserve">Start with tokens (atoms), assemble them into components (molecules), then compose organisms, templates and pages. Changing a token updates every instance.</w:t>
      </w:r>
    </w:p>
    <w:p>
      <w:pPr>
        <w:pStyle w:val="Compact"/>
        <w:numPr>
          <w:ilvl w:val="0"/>
          <w:numId w:val="1006"/>
        </w:numPr>
      </w:pPr>
      <w:r>
        <w:rPr>
          <w:b/>
          <w:bCs/>
        </w:rPr>
        <w:t xml:space="preserve">Information architecture:</w:t>
      </w:r>
      <w:r>
        <w:t xml:space="preserve"> </w:t>
      </w:r>
      <w:r>
        <w:t xml:space="preserve">Model investigations, companies, technologies, documents and people as data entities with relationships. The UI surfaces these relationships (e.g., show companies involved in an investigation and investigations related to a technology).</w:t>
      </w:r>
    </w:p>
    <w:p>
      <w:pPr>
        <w:pStyle w:val="Compact"/>
        <w:numPr>
          <w:ilvl w:val="0"/>
          <w:numId w:val="1006"/>
        </w:numPr>
      </w:pPr>
      <w:r>
        <w:rPr>
          <w:b/>
          <w:bCs/>
        </w:rPr>
        <w:t xml:space="preserve">Single source of truth:</w:t>
      </w:r>
      <w:r>
        <w:t xml:space="preserve"> </w:t>
      </w:r>
      <w:r>
        <w:t xml:space="preserve">Maintain canonical repositories for tokens, components, templates and content. Sync across tools using automation. When a token changes, update Figma, Canva, Elementor and CSS variables automatically.</w:t>
      </w:r>
    </w:p>
    <w:p>
      <w:pPr>
        <w:pStyle w:val="Compact"/>
        <w:numPr>
          <w:ilvl w:val="0"/>
          <w:numId w:val="1006"/>
        </w:numPr>
      </w:pPr>
      <w:r>
        <w:rPr>
          <w:b/>
          <w:bCs/>
        </w:rPr>
        <w:t xml:space="preserve">Loose coupling, high cohesion:</w:t>
      </w:r>
      <w:r>
        <w:t xml:space="preserve"> </w:t>
      </w:r>
      <w:r>
        <w:t xml:space="preserve">Components should be self‑contained (cohesive) but not depend heavily on external state (loosely coupled). This makes them easier to reuse and test.</w:t>
      </w:r>
    </w:p>
    <w:p>
      <w:pPr>
        <w:pStyle w:val="Compact"/>
        <w:numPr>
          <w:ilvl w:val="0"/>
          <w:numId w:val="1006"/>
        </w:numPr>
      </w:pPr>
      <w:r>
        <w:rPr>
          <w:b/>
          <w:bCs/>
        </w:rPr>
        <w:t xml:space="preserve">State management:</w:t>
      </w:r>
      <w:r>
        <w:t xml:space="preserve"> </w:t>
      </w:r>
      <w:r>
        <w:t xml:space="preserve">Determine how states (active, hover, focus, disabled) propagate through components. Use tokens for state colours and transitions. Document state machines for interactive elements.</w:t>
      </w:r>
    </w:p>
    <w:p>
      <w:pPr>
        <w:pStyle w:val="Compact"/>
        <w:numPr>
          <w:ilvl w:val="0"/>
          <w:numId w:val="1006"/>
        </w:numPr>
      </w:pPr>
      <w:r>
        <w:rPr>
          <w:b/>
          <w:bCs/>
        </w:rPr>
        <w:t xml:space="preserve">Scalable architecture:</w:t>
      </w:r>
      <w:r>
        <w:t xml:space="preserve"> </w:t>
      </w:r>
      <w:r>
        <w:t xml:space="preserve">Anticipate growth; design taxonomies and CPTs to accommodate new categories (e.g., lawsuits, patents, algorithms). Use dynamic templates so adding a new entity type does not require redesigning the site.</w:t>
      </w:r>
    </w:p>
    <w:bookmarkEnd w:id="40"/>
    <w:bookmarkStart w:id="43" w:name="section-8-workflow"/>
    <w:p>
      <w:pPr>
        <w:pStyle w:val="Heading2"/>
      </w:pPr>
      <w:r>
        <w:t xml:space="preserve">Section 8 – Workflow</w:t>
      </w:r>
    </w:p>
    <w:bookmarkStart w:id="41" w:name="macro-workflow"/>
    <w:p>
      <w:pPr>
        <w:pStyle w:val="Heading3"/>
      </w:pPr>
      <w:r>
        <w:t xml:space="preserve">Macro workflow</w:t>
      </w:r>
    </w:p>
    <w:p>
      <w:pPr>
        <w:pStyle w:val="Compact"/>
        <w:numPr>
          <w:ilvl w:val="0"/>
          <w:numId w:val="1007"/>
        </w:numPr>
      </w:pPr>
      <w:r>
        <w:rPr>
          <w:b/>
          <w:bCs/>
        </w:rPr>
        <w:t xml:space="preserve">Plan:</w:t>
      </w:r>
      <w:r>
        <w:t xml:space="preserve"> </w:t>
      </w:r>
      <w:r>
        <w:t xml:space="preserve">Identify the story or feature. Define the data needed (sources, evidence, interviews). Determine target audience and distribution channels.</w:t>
      </w:r>
    </w:p>
    <w:p>
      <w:pPr>
        <w:pStyle w:val="Compact"/>
        <w:numPr>
          <w:ilvl w:val="0"/>
          <w:numId w:val="1007"/>
        </w:numPr>
      </w:pPr>
      <w:r>
        <w:rPr>
          <w:b/>
          <w:bCs/>
        </w:rPr>
        <w:t xml:space="preserve">Research &amp; gather:</w:t>
      </w:r>
      <w:r>
        <w:t xml:space="preserve"> </w:t>
      </w:r>
      <w:r>
        <w:t xml:space="preserve">Use AI agents to collect papers, articles, leaks and data sets. Extract key facts and claims. Store sources in the content database with metadata (title, author, date, link, credibility).</w:t>
      </w:r>
    </w:p>
    <w:p>
      <w:pPr>
        <w:pStyle w:val="Compact"/>
        <w:numPr>
          <w:ilvl w:val="0"/>
          <w:numId w:val="1007"/>
        </w:numPr>
      </w:pPr>
      <w:r>
        <w:rPr>
          <w:b/>
          <w:bCs/>
        </w:rPr>
        <w:t xml:space="preserve">Draft:</w:t>
      </w:r>
      <w:r>
        <w:t xml:space="preserve"> </w:t>
      </w:r>
      <w:r>
        <w:t xml:space="preserve">Use AI agents to generate a draft article, report or script based on the gathered research. Fact‑check and edit the draft manually. Ensure claims are supported by citations.</w:t>
      </w:r>
    </w:p>
    <w:p>
      <w:pPr>
        <w:pStyle w:val="Compact"/>
        <w:numPr>
          <w:ilvl w:val="0"/>
          <w:numId w:val="1007"/>
        </w:numPr>
      </w:pPr>
      <w:r>
        <w:rPr>
          <w:b/>
          <w:bCs/>
        </w:rPr>
        <w:t xml:space="preserve">Design &amp; package:</w:t>
      </w:r>
      <w:r>
        <w:t xml:space="preserve"> </w:t>
      </w:r>
      <w:r>
        <w:t xml:space="preserve">Use dynamic templates to assemble the story: hero image, case file header, evidence cards, quotes. Generate social assets using Canva with variables. Choose appropriate colours based on story category (e.g., orange for AI crime, lime for verification).</w:t>
      </w:r>
    </w:p>
    <w:p>
      <w:pPr>
        <w:pStyle w:val="Compact"/>
        <w:numPr>
          <w:ilvl w:val="0"/>
          <w:numId w:val="1007"/>
        </w:numPr>
      </w:pPr>
      <w:r>
        <w:rPr>
          <w:b/>
          <w:bCs/>
        </w:rPr>
        <w:t xml:space="preserve">Publish:</w:t>
      </w:r>
      <w:r>
        <w:t xml:space="preserve"> </w:t>
      </w:r>
      <w:r>
        <w:t xml:space="preserve">Push content to WordPress. The automation engine sets the slug, categories, tags and meta. SEO and schema are generated automatically. Distribute to email newsletters and social platforms.</w:t>
      </w:r>
    </w:p>
    <w:p>
      <w:pPr>
        <w:pStyle w:val="Compact"/>
        <w:numPr>
          <w:ilvl w:val="0"/>
          <w:numId w:val="1007"/>
        </w:numPr>
      </w:pPr>
      <w:r>
        <w:rPr>
          <w:b/>
          <w:bCs/>
        </w:rPr>
        <w:t xml:space="preserve">Monitor &amp; iterate:</w:t>
      </w:r>
      <w:r>
        <w:t xml:space="preserve"> </w:t>
      </w:r>
      <w:r>
        <w:t xml:space="preserve">Track engagement, load times, SEO metrics and audience feedback. Use data to improve templates, automations and content. Document improvements in the design system and operating manual.</w:t>
      </w:r>
    </w:p>
    <w:bookmarkEnd w:id="41"/>
    <w:bookmarkStart w:id="42" w:name="micro-workflow"/>
    <w:p>
      <w:pPr>
        <w:pStyle w:val="Heading3"/>
      </w:pPr>
      <w:r>
        <w:t xml:space="preserve">Micro workflow</w:t>
      </w:r>
    </w:p>
    <w:p>
      <w:pPr>
        <w:pStyle w:val="Compact"/>
        <w:numPr>
          <w:ilvl w:val="0"/>
          <w:numId w:val="1008"/>
        </w:numPr>
      </w:pPr>
      <w:r>
        <w:rPr>
          <w:b/>
          <w:bCs/>
        </w:rPr>
        <w:t xml:space="preserve">Token update:</w:t>
      </w:r>
      <w:r>
        <w:t xml:space="preserve"> </w:t>
      </w:r>
      <w:r>
        <w:t xml:space="preserve">When adding or adjusting a colour or spacing, update the token repository. Sync to Figma, Canva and Elementor using scripts.</w:t>
      </w:r>
    </w:p>
    <w:p>
      <w:pPr>
        <w:pStyle w:val="Compact"/>
        <w:numPr>
          <w:ilvl w:val="0"/>
          <w:numId w:val="1008"/>
        </w:numPr>
      </w:pPr>
      <w:r>
        <w:rPr>
          <w:b/>
          <w:bCs/>
        </w:rPr>
        <w:t xml:space="preserve">Component creation:</w:t>
      </w:r>
      <w:r>
        <w:t xml:space="preserve"> </w:t>
      </w:r>
      <w:r>
        <w:t xml:space="preserve">Design in Figma using tokens; convert to Elementor using custom templates; export to Canva if needed.</w:t>
      </w:r>
    </w:p>
    <w:p>
      <w:pPr>
        <w:pStyle w:val="Compact"/>
        <w:numPr>
          <w:ilvl w:val="0"/>
          <w:numId w:val="1008"/>
        </w:numPr>
      </w:pPr>
      <w:r>
        <w:rPr>
          <w:b/>
          <w:bCs/>
        </w:rPr>
        <w:t xml:space="preserve">Template change:</w:t>
      </w:r>
      <w:r>
        <w:t xml:space="preserve"> </w:t>
      </w:r>
      <w:r>
        <w:t xml:space="preserve">Clone the existing template; adjust layout or components; test dynamic data; update WordPress template; version control.</w:t>
      </w:r>
    </w:p>
    <w:p>
      <w:pPr>
        <w:pStyle w:val="Compact"/>
        <w:numPr>
          <w:ilvl w:val="0"/>
          <w:numId w:val="1008"/>
        </w:numPr>
      </w:pPr>
      <w:r>
        <w:rPr>
          <w:b/>
          <w:bCs/>
        </w:rPr>
        <w:t xml:space="preserve">Automation addition:</w:t>
      </w:r>
      <w:r>
        <w:t xml:space="preserve"> </w:t>
      </w:r>
      <w:r>
        <w:t xml:space="preserve">Write a new Apps Script or workflow to automate a manual step; test; document; deploy.</w:t>
      </w:r>
    </w:p>
    <w:bookmarkEnd w:id="42"/>
    <w:bookmarkEnd w:id="43"/>
    <w:bookmarkStart w:id="47" w:name="section-9-how-to-think"/>
    <w:p>
      <w:pPr>
        <w:pStyle w:val="Heading2"/>
      </w:pPr>
      <w:r>
        <w:t xml:space="preserve">Section 9 – How to Think</w:t>
      </w:r>
    </w:p>
    <w:bookmarkStart w:id="44" w:name="ask-the-right-questions"/>
    <w:p>
      <w:pPr>
        <w:pStyle w:val="Heading3"/>
      </w:pPr>
      <w:r>
        <w:t xml:space="preserve">Ask the right questions</w:t>
      </w:r>
    </w:p>
    <w:p>
      <w:pPr>
        <w:pStyle w:val="Compact"/>
        <w:numPr>
          <w:ilvl w:val="0"/>
          <w:numId w:val="1009"/>
        </w:numPr>
      </w:pPr>
      <w:r>
        <w:rPr>
          <w:b/>
          <w:bCs/>
        </w:rPr>
        <w:t xml:space="preserve">Is this reusable?</w:t>
      </w:r>
      <w:r>
        <w:t xml:space="preserve"> </w:t>
      </w:r>
      <w:r>
        <w:t xml:space="preserve">Before creating a new component or template, ask whether an existing pattern can be extended.</w:t>
      </w:r>
    </w:p>
    <w:p>
      <w:pPr>
        <w:pStyle w:val="Compact"/>
        <w:numPr>
          <w:ilvl w:val="0"/>
          <w:numId w:val="1009"/>
        </w:numPr>
      </w:pPr>
      <w:r>
        <w:rPr>
          <w:b/>
          <w:bCs/>
        </w:rPr>
        <w:t xml:space="preserve">Can this be automated?</w:t>
      </w:r>
      <w:r>
        <w:t xml:space="preserve"> </w:t>
      </w:r>
      <w:r>
        <w:t xml:space="preserve">If a process is repeated more than once, script it. This includes image generation, slug creation, social posting and internal linking.</w:t>
      </w:r>
    </w:p>
    <w:p>
      <w:pPr>
        <w:pStyle w:val="Compact"/>
        <w:numPr>
          <w:ilvl w:val="0"/>
          <w:numId w:val="1009"/>
        </w:numPr>
      </w:pPr>
      <w:r>
        <w:rPr>
          <w:b/>
          <w:bCs/>
        </w:rPr>
        <w:t xml:space="preserve">What is the single source of truth?</w:t>
      </w:r>
      <w:r>
        <w:t xml:space="preserve"> </w:t>
      </w:r>
      <w:r>
        <w:t xml:space="preserve">When adding a colour or field, determine where it should live in the canonical repositories.</w:t>
      </w:r>
    </w:p>
    <w:p>
      <w:pPr>
        <w:pStyle w:val="Compact"/>
        <w:numPr>
          <w:ilvl w:val="0"/>
          <w:numId w:val="1009"/>
        </w:numPr>
      </w:pPr>
      <w:r>
        <w:rPr>
          <w:b/>
          <w:bCs/>
        </w:rPr>
        <w:t xml:space="preserve">What is the lifecycle?</w:t>
      </w:r>
      <w:r>
        <w:t xml:space="preserve"> </w:t>
      </w:r>
      <w:r>
        <w:t xml:space="preserve">Understand how a component or asset is created, used, updated and retired. Plan versioning and migration.</w:t>
      </w:r>
    </w:p>
    <w:p>
      <w:pPr>
        <w:pStyle w:val="Compact"/>
        <w:numPr>
          <w:ilvl w:val="0"/>
          <w:numId w:val="1009"/>
        </w:numPr>
      </w:pPr>
      <w:r>
        <w:rPr>
          <w:b/>
          <w:bCs/>
        </w:rPr>
        <w:t xml:space="preserve">Who benefits from this?</w:t>
      </w:r>
      <w:r>
        <w:t xml:space="preserve"> </w:t>
      </w:r>
      <w:r>
        <w:t xml:space="preserve">Consider the end‑user (reader), the content creator (journalist) and the technical team. Solutions must meet all needs.</w:t>
      </w:r>
    </w:p>
    <w:p>
      <w:pPr>
        <w:pStyle w:val="Compact"/>
        <w:numPr>
          <w:ilvl w:val="0"/>
          <w:numId w:val="1009"/>
        </w:numPr>
      </w:pPr>
      <w:r>
        <w:rPr>
          <w:b/>
          <w:bCs/>
        </w:rPr>
        <w:t xml:space="preserve">What could go wrong?</w:t>
      </w:r>
      <w:r>
        <w:t xml:space="preserve"> </w:t>
      </w:r>
      <w:r>
        <w:t xml:space="preserve">Identify failure modes (broken automation, inaccessible colours, biased AI) and plan mitigations.</w:t>
      </w:r>
    </w:p>
    <w:bookmarkEnd w:id="44"/>
    <w:bookmarkStart w:id="45" w:name="adopt-a-systems-mindset"/>
    <w:p>
      <w:pPr>
        <w:pStyle w:val="Heading3"/>
      </w:pPr>
      <w:r>
        <w:t xml:space="preserve">Adopt a systems mindset</w:t>
      </w:r>
    </w:p>
    <w:p>
      <w:pPr>
        <w:pStyle w:val="FirstParagraph"/>
      </w:pPr>
      <w:r>
        <w:t xml:space="preserve">Think beyond the current task. When designing a button, imagine all states, sizes and uses across the site. When adding a field to a CPT, consider how it will appear in the UI, how it will be used in filters, how it will be indexed for search and how it will interact with automation scripts.</w:t>
      </w:r>
    </w:p>
    <w:bookmarkEnd w:id="45"/>
    <w:bookmarkStart w:id="46" w:name="embrace-continuous-improvement"/>
    <w:p>
      <w:pPr>
        <w:pStyle w:val="Heading3"/>
      </w:pPr>
      <w:r>
        <w:t xml:space="preserve">Embrace continuous improvement</w:t>
      </w:r>
    </w:p>
    <w:p>
      <w:pPr>
        <w:pStyle w:val="FirstParagraph"/>
      </w:pPr>
      <w:r>
        <w:t xml:space="preserve">No system is perfect at first. The constitution encourages iterative refinement. After each deliverable, perform a post‑mortem: what worked? What bottlenecks emerged? How can the system be improved? Document lessons and update standards.</w:t>
      </w:r>
    </w:p>
    <w:bookmarkEnd w:id="46"/>
    <w:bookmarkEnd w:id="47"/>
    <w:bookmarkStart w:id="48" w:name="section-10-rules"/>
    <w:p>
      <w:pPr>
        <w:pStyle w:val="Heading2"/>
      </w:pPr>
      <w:r>
        <w:t xml:space="preserve">Section 10 – Rules</w:t>
      </w:r>
    </w:p>
    <w:p>
      <w:pPr>
        <w:pStyle w:val="Compact"/>
        <w:numPr>
          <w:ilvl w:val="0"/>
          <w:numId w:val="1010"/>
        </w:numPr>
      </w:pPr>
      <w:r>
        <w:rPr>
          <w:b/>
          <w:bCs/>
        </w:rPr>
        <w:t xml:space="preserve">Never hard‑code aesthetic values.</w:t>
      </w:r>
      <w:r>
        <w:t xml:space="preserve"> </w:t>
      </w:r>
      <w:r>
        <w:t xml:space="preserve">All colours, font sizes, spacing, borders, radii and shadows must reference tokens.</w:t>
      </w:r>
    </w:p>
    <w:p>
      <w:pPr>
        <w:pStyle w:val="Compact"/>
        <w:numPr>
          <w:ilvl w:val="0"/>
          <w:numId w:val="1010"/>
        </w:numPr>
      </w:pPr>
      <w:r>
        <w:rPr>
          <w:b/>
          <w:bCs/>
        </w:rPr>
        <w:t xml:space="preserve">Use tokens for states.</w:t>
      </w:r>
      <w:r>
        <w:t xml:space="preserve"> </w:t>
      </w:r>
      <w:r>
        <w:t xml:space="preserve">Define separate tokens for hover, active, focus and disabled states. Avoid inline adjustments.</w:t>
      </w:r>
    </w:p>
    <w:p>
      <w:pPr>
        <w:pStyle w:val="Compact"/>
        <w:numPr>
          <w:ilvl w:val="0"/>
          <w:numId w:val="1010"/>
        </w:numPr>
      </w:pPr>
      <w:r>
        <w:rPr>
          <w:b/>
          <w:bCs/>
        </w:rPr>
        <w:t xml:space="preserve">Maintain naming conventions.</w:t>
      </w:r>
      <w:r>
        <w:t xml:space="preserve"> </w:t>
      </w:r>
      <w:r>
        <w:t xml:space="preserve">Tokens follow a</w:t>
      </w:r>
      <w:r>
        <w:t xml:space="preserve"> </w:t>
      </w:r>
      <w:r>
        <w:rPr>
          <w:rStyle w:val="VerbatimChar"/>
        </w:rPr>
        <w:t xml:space="preserve">category-intent-state-level</w:t>
      </w:r>
      <w:r>
        <w:t xml:space="preserve"> </w:t>
      </w:r>
      <w:r>
        <w:t xml:space="preserve">naming pattern (e.g.,</w:t>
      </w:r>
      <w:r>
        <w:t xml:space="preserve"> </w:t>
      </w:r>
      <w:r>
        <w:rPr>
          <w:rStyle w:val="VerbatimChar"/>
        </w:rPr>
        <w:t xml:space="preserve">color-action-primary-base</w:t>
      </w:r>
      <w:r>
        <w:t xml:space="preserve">,</w:t>
      </w:r>
      <w:r>
        <w:t xml:space="preserve"> </w:t>
      </w:r>
      <w:r>
        <w:rPr>
          <w:rStyle w:val="VerbatimChar"/>
        </w:rPr>
        <w:t xml:space="preserve">space-3xl</w:t>
      </w:r>
      <w:r>
        <w:t xml:space="preserve">). ACF fields use</w:t>
      </w:r>
      <w:r>
        <w:t xml:space="preserve"> </w:t>
      </w:r>
      <w:r>
        <w:rPr>
          <w:rStyle w:val="VerbatimChar"/>
        </w:rPr>
        <w:t xml:space="preserve">prefix_entity_fieldname</w:t>
      </w:r>
      <w:r>
        <w:t xml:space="preserve"> </w:t>
      </w:r>
      <w:r>
        <w:t xml:space="preserve">(e.g.,</w:t>
      </w:r>
      <w:r>
        <w:t xml:space="preserve"> </w:t>
      </w:r>
      <w:r>
        <w:rPr>
          <w:rStyle w:val="VerbatimChar"/>
        </w:rPr>
        <w:t xml:space="preserve">investigation_case_number</w:t>
      </w:r>
      <w:r>
        <w:t xml:space="preserve">).</w:t>
      </w:r>
    </w:p>
    <w:p>
      <w:pPr>
        <w:pStyle w:val="Compact"/>
        <w:numPr>
          <w:ilvl w:val="0"/>
          <w:numId w:val="1010"/>
        </w:numPr>
      </w:pPr>
      <w:r>
        <w:rPr>
          <w:b/>
          <w:bCs/>
        </w:rPr>
        <w:t xml:space="preserve">No duplication.</w:t>
      </w:r>
      <w:r>
        <w:t xml:space="preserve"> </w:t>
      </w:r>
      <w:r>
        <w:t xml:space="preserve">If a token, component or template exists, reuse it. Do not create synonyms or variations without justification.</w:t>
      </w:r>
    </w:p>
    <w:p>
      <w:pPr>
        <w:pStyle w:val="Compact"/>
        <w:numPr>
          <w:ilvl w:val="0"/>
          <w:numId w:val="1010"/>
        </w:numPr>
      </w:pPr>
      <w:r>
        <w:rPr>
          <w:b/>
          <w:bCs/>
        </w:rPr>
        <w:t xml:space="preserve">Document everything.</w:t>
      </w:r>
      <w:r>
        <w:t xml:space="preserve"> </w:t>
      </w:r>
      <w:r>
        <w:t xml:space="preserve">Each component, token, template, automation script and process must include purpose, usage, dependencies and version.</w:t>
      </w:r>
    </w:p>
    <w:p>
      <w:pPr>
        <w:pStyle w:val="Compact"/>
        <w:numPr>
          <w:ilvl w:val="0"/>
          <w:numId w:val="1010"/>
        </w:numPr>
      </w:pPr>
      <w:r>
        <w:rPr>
          <w:b/>
          <w:bCs/>
        </w:rPr>
        <w:t xml:space="preserve">Testing is mandatory.</w:t>
      </w:r>
      <w:r>
        <w:t xml:space="preserve"> </w:t>
      </w:r>
      <w:r>
        <w:t xml:space="preserve">All changes must undergo cross‑device and cross‑browser tests (desktop, laptop, tablet, mobile). Check accessibility, performance and responsive behaviour.</w:t>
      </w:r>
    </w:p>
    <w:p>
      <w:pPr>
        <w:pStyle w:val="Compact"/>
        <w:numPr>
          <w:ilvl w:val="0"/>
          <w:numId w:val="1010"/>
        </w:numPr>
      </w:pPr>
      <w:r>
        <w:rPr>
          <w:b/>
          <w:bCs/>
        </w:rPr>
        <w:t xml:space="preserve">Follow modular design.</w:t>
      </w:r>
      <w:r>
        <w:t xml:space="preserve"> </w:t>
      </w:r>
      <w:r>
        <w:t xml:space="preserve">One file per component; one component per function. Separate concerns (e.g., structure vs. style). Keep code maintainable.</w:t>
      </w:r>
    </w:p>
    <w:p>
      <w:pPr>
        <w:pStyle w:val="Compact"/>
        <w:numPr>
          <w:ilvl w:val="0"/>
          <w:numId w:val="1010"/>
        </w:numPr>
      </w:pPr>
      <w:r>
        <w:rPr>
          <w:b/>
          <w:bCs/>
        </w:rPr>
        <w:t xml:space="preserve">Perform code reviews and design reviews.</w:t>
      </w:r>
      <w:r>
        <w:t xml:space="preserve"> </w:t>
      </w:r>
      <w:r>
        <w:t xml:space="preserve">At least one peer must review new tokens, components, templates or automation scripts. Reviews verify adherence to standards.</w:t>
      </w:r>
    </w:p>
    <w:p>
      <w:pPr>
        <w:pStyle w:val="Compact"/>
        <w:numPr>
          <w:ilvl w:val="0"/>
          <w:numId w:val="1010"/>
        </w:numPr>
      </w:pPr>
      <w:r>
        <w:rPr>
          <w:b/>
          <w:bCs/>
        </w:rPr>
        <w:t xml:space="preserve">Respect source control procedures.</w:t>
      </w:r>
      <w:r>
        <w:t xml:space="preserve"> </w:t>
      </w:r>
      <w:r>
        <w:t xml:space="preserve">Use branches for features; merge via pull requests; include descriptive messages; tag releases.</w:t>
      </w:r>
    </w:p>
    <w:p>
      <w:pPr>
        <w:pStyle w:val="Compact"/>
        <w:numPr>
          <w:ilvl w:val="0"/>
          <w:numId w:val="1010"/>
        </w:numPr>
      </w:pPr>
      <w:r>
        <w:rPr>
          <w:b/>
          <w:bCs/>
        </w:rPr>
        <w:t xml:space="preserve">Audit AI outputs.</w:t>
      </w:r>
      <w:r>
        <w:t xml:space="preserve"> </w:t>
      </w:r>
      <w:r>
        <w:t xml:space="preserve">Review AI‑generated content for accuracy, bias, tone and alignment with brand guidelines.</w:t>
      </w:r>
    </w:p>
    <w:bookmarkEnd w:id="48"/>
    <w:bookmarkStart w:id="56" w:name="section-11-quality-control"/>
    <w:p>
      <w:pPr>
        <w:pStyle w:val="Heading2"/>
      </w:pPr>
      <w:r>
        <w:t xml:space="preserve">Section 11 – Quality Control</w:t>
      </w:r>
    </w:p>
    <w:bookmarkStart w:id="49" w:name="accessibility-testing"/>
    <w:p>
      <w:pPr>
        <w:pStyle w:val="Heading3"/>
      </w:pPr>
      <w:r>
        <w:t xml:space="preserve">Accessibility testing</w:t>
      </w:r>
    </w:p>
    <w:p>
      <w:pPr>
        <w:pStyle w:val="Compact"/>
        <w:numPr>
          <w:ilvl w:val="0"/>
          <w:numId w:val="1011"/>
        </w:numPr>
      </w:pPr>
      <w:r>
        <w:t xml:space="preserve">Use automated tools (e.g., Axe, Lighthouse) to check for common issues—contrast ratios, alt text, ARIA attributes. But manual testing is also essential to catch issues that tools miss (keyboard traps, focus order, screen reader semantics).</w:t>
      </w:r>
    </w:p>
    <w:p>
      <w:pPr>
        <w:pStyle w:val="Compact"/>
        <w:numPr>
          <w:ilvl w:val="0"/>
          <w:numId w:val="1011"/>
        </w:numPr>
      </w:pPr>
      <w:r>
        <w:t xml:space="preserve">Validate that colour contrast meets Section 508 requirements: 4.5 : 1 for normal text and 3 : 1 for large text</w:t>
      </w:r>
      <w:hyperlink r:id="rId21">
        <w:r>
          <w:rPr>
            <w:rStyle w:val="Hyperlink"/>
          </w:rPr>
          <w:t xml:space="preserve">[1]</w:t>
        </w:r>
      </w:hyperlink>
      <w:r>
        <w:t xml:space="preserve">.</w:t>
      </w:r>
    </w:p>
    <w:p>
      <w:pPr>
        <w:pStyle w:val="Compact"/>
        <w:numPr>
          <w:ilvl w:val="0"/>
          <w:numId w:val="1011"/>
        </w:numPr>
      </w:pPr>
      <w:r>
        <w:t xml:space="preserve">Ensure that interactive elements (links, buttons) have visible focus states. Use distinct focus rings derived from state tokens.</w:t>
      </w:r>
    </w:p>
    <w:bookmarkEnd w:id="49"/>
    <w:bookmarkStart w:id="50" w:name="visual-regression-testing"/>
    <w:p>
      <w:pPr>
        <w:pStyle w:val="Heading3"/>
      </w:pPr>
      <w:r>
        <w:t xml:space="preserve">Visual regression testing</w:t>
      </w:r>
    </w:p>
    <w:p>
      <w:pPr>
        <w:pStyle w:val="Compact"/>
        <w:numPr>
          <w:ilvl w:val="0"/>
          <w:numId w:val="1012"/>
        </w:numPr>
      </w:pPr>
      <w:r>
        <w:t xml:space="preserve">Use tools to take screenshots of components and pages across breakpoints. Compare against baseline images to detect unintended changes.</w:t>
      </w:r>
    </w:p>
    <w:bookmarkEnd w:id="50"/>
    <w:bookmarkStart w:id="51" w:name="performance-testing"/>
    <w:p>
      <w:pPr>
        <w:pStyle w:val="Heading3"/>
      </w:pPr>
      <w:r>
        <w:t xml:space="preserve">Performance testing</w:t>
      </w:r>
    </w:p>
    <w:p>
      <w:pPr>
        <w:pStyle w:val="Compact"/>
        <w:numPr>
          <w:ilvl w:val="0"/>
          <w:numId w:val="1013"/>
        </w:numPr>
      </w:pPr>
      <w:r>
        <w:t xml:space="preserve">Test page load time, time to interactive (TTI), largest contentful paint (LCP) and cumulative layout shift (CLS). Optimise images, compress fonts and use caching.</w:t>
      </w:r>
    </w:p>
    <w:bookmarkEnd w:id="51"/>
    <w:bookmarkStart w:id="52" w:name="seo-and-schema-validation"/>
    <w:p>
      <w:pPr>
        <w:pStyle w:val="Heading3"/>
      </w:pPr>
      <w:r>
        <w:t xml:space="preserve">SEO and schema validation</w:t>
      </w:r>
    </w:p>
    <w:p>
      <w:pPr>
        <w:pStyle w:val="Compact"/>
        <w:numPr>
          <w:ilvl w:val="0"/>
          <w:numId w:val="1014"/>
        </w:numPr>
      </w:pPr>
      <w:r>
        <w:t xml:space="preserve">Validate generated meta tags, OpenGraph tags and JSON‑LD schema using structured data testing tools. Ensure canonical URLs, robots directives and sitemaps are correct.</w:t>
      </w:r>
    </w:p>
    <w:bookmarkEnd w:id="52"/>
    <w:bookmarkStart w:id="53" w:name="data-integrity"/>
    <w:p>
      <w:pPr>
        <w:pStyle w:val="Heading3"/>
      </w:pPr>
      <w:r>
        <w:t xml:space="preserve">Data integrity</w:t>
      </w:r>
    </w:p>
    <w:p>
      <w:pPr>
        <w:pStyle w:val="Compact"/>
        <w:numPr>
          <w:ilvl w:val="0"/>
          <w:numId w:val="1015"/>
        </w:numPr>
      </w:pPr>
      <w:r>
        <w:t xml:space="preserve">Verify that dynamic fields populate correctly in templates. Check relationship fields to ensure they link to valid posts. Validate user inputs (admin forms, front‑end search).</w:t>
      </w:r>
    </w:p>
    <w:bookmarkEnd w:id="53"/>
    <w:bookmarkStart w:id="54" w:name="automation-reliability"/>
    <w:p>
      <w:pPr>
        <w:pStyle w:val="Heading3"/>
      </w:pPr>
      <w:r>
        <w:t xml:space="preserve">Automation reliability</w:t>
      </w:r>
    </w:p>
    <w:p>
      <w:pPr>
        <w:pStyle w:val="Compact"/>
        <w:numPr>
          <w:ilvl w:val="0"/>
          <w:numId w:val="1016"/>
        </w:numPr>
      </w:pPr>
      <w:r>
        <w:t xml:space="preserve">Monitor automation scripts for errors and failures. Implement logging and alerting. Retry failed tasks. Write tests for each script.</w:t>
      </w:r>
    </w:p>
    <w:bookmarkEnd w:id="54"/>
    <w:bookmarkStart w:id="55" w:name="security-audits"/>
    <w:p>
      <w:pPr>
        <w:pStyle w:val="Heading3"/>
      </w:pPr>
      <w:r>
        <w:t xml:space="preserve">Security audits</w:t>
      </w:r>
    </w:p>
    <w:p>
      <w:pPr>
        <w:pStyle w:val="Compact"/>
        <w:numPr>
          <w:ilvl w:val="0"/>
          <w:numId w:val="1017"/>
        </w:numPr>
      </w:pPr>
      <w:r>
        <w:t xml:space="preserve">Regularly audit WordPress, plugins and scripts for vulnerabilities. Apply updates promptly. Use security plugins and WAF (Web Application Firewall). Validate input data to prevent injection attacks. Use secure authentication and encryption.</w:t>
      </w:r>
    </w:p>
    <w:bookmarkEnd w:id="55"/>
    <w:bookmarkEnd w:id="56"/>
    <w:bookmarkStart w:id="57" w:name="section-12-deliverable-format"/>
    <w:p>
      <w:pPr>
        <w:pStyle w:val="Heading2"/>
      </w:pPr>
      <w:r>
        <w:t xml:space="preserve">Section 12 – Deliverable Format</w:t>
      </w:r>
    </w:p>
    <w:p>
      <w:pPr>
        <w:pStyle w:val="FirstParagraph"/>
      </w:pPr>
      <w:r>
        <w:t xml:space="preserve">All deliverables—documents, templates, scripts, components—must follow consistent formatting to facilitate collaboration and reuse.</w:t>
      </w:r>
    </w:p>
    <w:p>
      <w:pPr>
        <w:pStyle w:val="Compact"/>
        <w:numPr>
          <w:ilvl w:val="0"/>
          <w:numId w:val="1018"/>
        </w:numPr>
      </w:pPr>
      <w:r>
        <w:rPr>
          <w:b/>
          <w:bCs/>
        </w:rPr>
        <w:t xml:space="preserve">Documents:</w:t>
      </w:r>
      <w:r>
        <w:t xml:space="preserve"> </w:t>
      </w:r>
      <w:r>
        <w:t xml:space="preserve">Use Markdown for textual documentation. Begin with a title, version, date and summary. Use headings to structure content. Include citations with tether IDs (e.g.,</w:t>
      </w:r>
      <w:r>
        <w:t xml:space="preserve"> </w:t>
      </w:r>
      <w:hyperlink r:id="rId21">
        <w:r>
          <w:rPr>
            <w:rStyle w:val="Hyperlink"/>
          </w:rPr>
          <w:t xml:space="preserve">[1]</w:t>
        </w:r>
      </w:hyperlink>
      <w:r>
        <w:t xml:space="preserve">). Provide examples and diagrams as needed.</w:t>
      </w:r>
    </w:p>
    <w:p>
      <w:pPr>
        <w:pStyle w:val="Compact"/>
        <w:numPr>
          <w:ilvl w:val="0"/>
          <w:numId w:val="1018"/>
        </w:numPr>
      </w:pPr>
      <w:r>
        <w:rPr>
          <w:b/>
          <w:bCs/>
        </w:rPr>
        <w:t xml:space="preserve">Design files:</w:t>
      </w:r>
      <w:r>
        <w:t xml:space="preserve"> </w:t>
      </w:r>
      <w:r>
        <w:t xml:space="preserve">Use Figma for UI components and Canva for marketing templates. Name files according to conventions (e.g.,</w:t>
      </w:r>
      <w:r>
        <w:t xml:space="preserve"> </w:t>
      </w:r>
      <w:r>
        <w:rPr>
          <w:rStyle w:val="VerbatimChar"/>
        </w:rPr>
        <w:t xml:space="preserve">component-button-primary</w:t>
      </w:r>
      <w:r>
        <w:t xml:space="preserve">,</w:t>
      </w:r>
      <w:r>
        <w:t xml:space="preserve"> </w:t>
      </w:r>
      <w:r>
        <w:rPr>
          <w:rStyle w:val="VerbatimChar"/>
        </w:rPr>
        <w:t xml:space="preserve">template-instagram-slide-01</w:t>
      </w:r>
      <w:r>
        <w:t xml:space="preserve">). Include variant names and properties.</w:t>
      </w:r>
    </w:p>
    <w:p>
      <w:pPr>
        <w:pStyle w:val="Compact"/>
        <w:numPr>
          <w:ilvl w:val="0"/>
          <w:numId w:val="1018"/>
        </w:numPr>
      </w:pPr>
      <w:r>
        <w:rPr>
          <w:b/>
          <w:bCs/>
        </w:rPr>
        <w:t xml:space="preserve">Code files:</w:t>
      </w:r>
      <w:r>
        <w:t xml:space="preserve"> </w:t>
      </w:r>
      <w:r>
        <w:t xml:space="preserve">Use industry‑standard syntax highlighting. Include header comments describing purpose, parameters, dependencies and version.</w:t>
      </w:r>
    </w:p>
    <w:p>
      <w:pPr>
        <w:pStyle w:val="Compact"/>
        <w:numPr>
          <w:ilvl w:val="0"/>
          <w:numId w:val="1018"/>
        </w:numPr>
      </w:pPr>
      <w:r>
        <w:rPr>
          <w:b/>
          <w:bCs/>
        </w:rPr>
        <w:t xml:space="preserve">JSON/YAML tokens:</w:t>
      </w:r>
      <w:r>
        <w:t xml:space="preserve"> </w:t>
      </w:r>
      <w:r>
        <w:t xml:space="preserve">Provide design tokens in a structured format with keys, values, types, descriptions and references. Use the W3C design tokens specification as a reference.</w:t>
      </w:r>
    </w:p>
    <w:p>
      <w:pPr>
        <w:pStyle w:val="Compact"/>
        <w:numPr>
          <w:ilvl w:val="0"/>
          <w:numId w:val="1018"/>
        </w:numPr>
      </w:pPr>
      <w:r>
        <w:rPr>
          <w:b/>
          <w:bCs/>
        </w:rPr>
        <w:t xml:space="preserve">CSV imports:</w:t>
      </w:r>
      <w:r>
        <w:t xml:space="preserve"> </w:t>
      </w:r>
      <w:r>
        <w:t xml:space="preserve">For content seeding or automation, provide CSV files with header rows. Include sample rows. Document field types and expected formats.</w:t>
      </w:r>
    </w:p>
    <w:p>
      <w:pPr>
        <w:pStyle w:val="Compact"/>
        <w:numPr>
          <w:ilvl w:val="0"/>
          <w:numId w:val="1018"/>
        </w:numPr>
      </w:pPr>
      <w:r>
        <w:rPr>
          <w:b/>
          <w:bCs/>
        </w:rPr>
        <w:t xml:space="preserve">Flowcharts and diagrams:</w:t>
      </w:r>
      <w:r>
        <w:t xml:space="preserve"> </w:t>
      </w:r>
      <w:r>
        <w:t xml:space="preserve">Use Mermaid or Figma to illustrate workflows and data models. Save diagrams as images and embed them in documentation.</w:t>
      </w:r>
    </w:p>
    <w:p>
      <w:pPr>
        <w:pStyle w:val="Compact"/>
        <w:numPr>
          <w:ilvl w:val="0"/>
          <w:numId w:val="1018"/>
        </w:numPr>
      </w:pPr>
      <w:r>
        <w:rPr>
          <w:b/>
          <w:bCs/>
        </w:rPr>
        <w:t xml:space="preserve">Version control:</w:t>
      </w:r>
      <w:r>
        <w:t xml:space="preserve"> </w:t>
      </w:r>
      <w:r>
        <w:t xml:space="preserve">Tag each deliverable with a version number (Semantic Versioning). Update version history notes detailing changes.</w:t>
      </w:r>
    </w:p>
    <w:bookmarkEnd w:id="57"/>
    <w:bookmarkStart w:id="58" w:name="section-13-iteration-loop"/>
    <w:p>
      <w:pPr>
        <w:pStyle w:val="Heading2"/>
      </w:pPr>
      <w:r>
        <w:t xml:space="preserve">Section 13 – Iteration Loop</w:t>
      </w:r>
    </w:p>
    <w:p>
      <w:pPr>
        <w:pStyle w:val="FirstParagraph"/>
      </w:pPr>
      <w:r>
        <w:t xml:space="preserve">The operating system advocates iterative cycles with feedback loops. Each cycle yields a set of improvements that inform the next cycle.</w:t>
      </w:r>
    </w:p>
    <w:p>
      <w:pPr>
        <w:pStyle w:val="Compact"/>
        <w:numPr>
          <w:ilvl w:val="0"/>
          <w:numId w:val="1019"/>
        </w:numPr>
      </w:pPr>
      <w:r>
        <w:rPr>
          <w:b/>
          <w:bCs/>
        </w:rPr>
        <w:t xml:space="preserve">Plan</w:t>
      </w:r>
      <w:r>
        <w:t xml:space="preserve"> </w:t>
      </w:r>
      <w:r>
        <w:t xml:space="preserve">– Identify the objective, constraints, success metrics and stakeholders.</w:t>
      </w:r>
    </w:p>
    <w:p>
      <w:pPr>
        <w:pStyle w:val="Compact"/>
        <w:numPr>
          <w:ilvl w:val="0"/>
          <w:numId w:val="1019"/>
        </w:numPr>
      </w:pPr>
      <w:r>
        <w:rPr>
          <w:b/>
          <w:bCs/>
        </w:rPr>
        <w:t xml:space="preserve">Prototype</w:t>
      </w:r>
      <w:r>
        <w:t xml:space="preserve"> </w:t>
      </w:r>
      <w:r>
        <w:t xml:space="preserve">– Create an initial implementation or design, using tokens, components and templates.</w:t>
      </w:r>
    </w:p>
    <w:p>
      <w:pPr>
        <w:pStyle w:val="Compact"/>
        <w:numPr>
          <w:ilvl w:val="0"/>
          <w:numId w:val="1019"/>
        </w:numPr>
      </w:pPr>
      <w:r>
        <w:rPr>
          <w:b/>
          <w:bCs/>
        </w:rPr>
        <w:t xml:space="preserve">Review</w:t>
      </w:r>
      <w:r>
        <w:t xml:space="preserve"> </w:t>
      </w:r>
      <w:r>
        <w:t xml:space="preserve">– Conduct design reviews and code reviews; gather feedback from peers, testers and stakeholders.</w:t>
      </w:r>
    </w:p>
    <w:p>
      <w:pPr>
        <w:pStyle w:val="Compact"/>
        <w:numPr>
          <w:ilvl w:val="0"/>
          <w:numId w:val="1019"/>
        </w:numPr>
      </w:pPr>
      <w:r>
        <w:rPr>
          <w:b/>
          <w:bCs/>
        </w:rPr>
        <w:t xml:space="preserve">Test</w:t>
      </w:r>
      <w:r>
        <w:t xml:space="preserve"> </w:t>
      </w:r>
      <w:r>
        <w:t xml:space="preserve">– Execute usability tests, accessibility audits, performance tests and automation runs. Record results.</w:t>
      </w:r>
    </w:p>
    <w:p>
      <w:pPr>
        <w:pStyle w:val="Compact"/>
        <w:numPr>
          <w:ilvl w:val="0"/>
          <w:numId w:val="1019"/>
        </w:numPr>
      </w:pPr>
      <w:r>
        <w:rPr>
          <w:b/>
          <w:bCs/>
        </w:rPr>
        <w:t xml:space="preserve">Refine</w:t>
      </w:r>
      <w:r>
        <w:t xml:space="preserve"> </w:t>
      </w:r>
      <w:r>
        <w:t xml:space="preserve">– Apply feedback to improve the design or implementation. Update documentation and tokens as needed.</w:t>
      </w:r>
    </w:p>
    <w:p>
      <w:pPr>
        <w:pStyle w:val="Compact"/>
        <w:numPr>
          <w:ilvl w:val="0"/>
          <w:numId w:val="1019"/>
        </w:numPr>
      </w:pPr>
      <w:r>
        <w:rPr>
          <w:b/>
          <w:bCs/>
        </w:rPr>
        <w:t xml:space="preserve">Publish</w:t>
      </w:r>
      <w:r>
        <w:t xml:space="preserve"> </w:t>
      </w:r>
      <w:r>
        <w:t xml:space="preserve">– Merge changes into the main branch; release updated components or templates; deploy to staging or production.</w:t>
      </w:r>
    </w:p>
    <w:p>
      <w:pPr>
        <w:pStyle w:val="Compact"/>
        <w:numPr>
          <w:ilvl w:val="0"/>
          <w:numId w:val="1019"/>
        </w:numPr>
      </w:pPr>
      <w:r>
        <w:rPr>
          <w:b/>
          <w:bCs/>
        </w:rPr>
        <w:t xml:space="preserve">Evaluate</w:t>
      </w:r>
      <w:r>
        <w:t xml:space="preserve"> </w:t>
      </w:r>
      <w:r>
        <w:t xml:space="preserve">– Analyse metrics (engagement, performance, SEO). Identify issues or opportunities.</w:t>
      </w:r>
    </w:p>
    <w:p>
      <w:pPr>
        <w:pStyle w:val="Compact"/>
        <w:numPr>
          <w:ilvl w:val="0"/>
          <w:numId w:val="1019"/>
        </w:numPr>
      </w:pPr>
      <w:r>
        <w:rPr>
          <w:b/>
          <w:bCs/>
        </w:rPr>
        <w:t xml:space="preserve">Repeat</w:t>
      </w:r>
      <w:r>
        <w:t xml:space="preserve"> </w:t>
      </w:r>
      <w:r>
        <w:t xml:space="preserve">– Start a new cycle focusing on the next highest‑value objective.</w:t>
      </w:r>
    </w:p>
    <w:p>
      <w:pPr>
        <w:pStyle w:val="FirstParagraph"/>
      </w:pPr>
      <w:r>
        <w:t xml:space="preserve">Cycles can vary in duration (hours to weeks) depending on scope. Always document lessons learned and update the constitution if fundamental principles evolve.</w:t>
      </w:r>
    </w:p>
    <w:bookmarkEnd w:id="58"/>
    <w:bookmarkStart w:id="62" w:name="section-14-automation-mindset"/>
    <w:p>
      <w:pPr>
        <w:pStyle w:val="Heading2"/>
      </w:pPr>
      <w:r>
        <w:t xml:space="preserve">Section 14 – Automation Mindset</w:t>
      </w:r>
    </w:p>
    <w:p>
      <w:pPr>
        <w:pStyle w:val="FirstParagraph"/>
      </w:pPr>
      <w:r>
        <w:t xml:space="preserve">Automation is central to NextGenSense. By scripting repetitive tasks, we multiply productivity and reduce errors.</w:t>
      </w:r>
    </w:p>
    <w:bookmarkStart w:id="59" w:name="identify-automation-candidates"/>
    <w:p>
      <w:pPr>
        <w:pStyle w:val="Heading3"/>
      </w:pPr>
      <w:r>
        <w:t xml:space="preserve">Identify automation candidates</w:t>
      </w:r>
    </w:p>
    <w:p>
      <w:pPr>
        <w:pStyle w:val="Compact"/>
        <w:numPr>
          <w:ilvl w:val="0"/>
          <w:numId w:val="1020"/>
        </w:numPr>
      </w:pPr>
      <w:r>
        <w:rPr>
          <w:b/>
          <w:bCs/>
        </w:rPr>
        <w:t xml:space="preserve">Data collection:</w:t>
      </w:r>
      <w:r>
        <w:t xml:space="preserve"> </w:t>
      </w:r>
      <w:r>
        <w:t xml:space="preserve">Use web scraping, APIs or AI tools to gather news articles, research papers, patents, court filings and data sets.</w:t>
      </w:r>
    </w:p>
    <w:p>
      <w:pPr>
        <w:pStyle w:val="Compact"/>
        <w:numPr>
          <w:ilvl w:val="0"/>
          <w:numId w:val="1020"/>
        </w:numPr>
      </w:pPr>
      <w:r>
        <w:rPr>
          <w:b/>
          <w:bCs/>
        </w:rPr>
        <w:t xml:space="preserve">Content drafting:</w:t>
      </w:r>
      <w:r>
        <w:t xml:space="preserve"> </w:t>
      </w:r>
      <w:r>
        <w:t xml:space="preserve">Generate first drafts of articles, reports, scripts or transcripts using AI models, then refine with human editors.</w:t>
      </w:r>
    </w:p>
    <w:p>
      <w:pPr>
        <w:pStyle w:val="Compact"/>
        <w:numPr>
          <w:ilvl w:val="0"/>
          <w:numId w:val="1020"/>
        </w:numPr>
      </w:pPr>
      <w:r>
        <w:rPr>
          <w:b/>
          <w:bCs/>
        </w:rPr>
        <w:t xml:space="preserve">Metadata generation:</w:t>
      </w:r>
      <w:r>
        <w:t xml:space="preserve"> </w:t>
      </w:r>
      <w:r>
        <w:t xml:space="preserve">Use AI to extract entities (people, companies, technologies), summarise sources and produce meta descriptions.</w:t>
      </w:r>
    </w:p>
    <w:p>
      <w:pPr>
        <w:pStyle w:val="Compact"/>
        <w:numPr>
          <w:ilvl w:val="0"/>
          <w:numId w:val="1020"/>
        </w:numPr>
      </w:pPr>
      <w:r>
        <w:rPr>
          <w:b/>
          <w:bCs/>
        </w:rPr>
        <w:t xml:space="preserve">Image generation:</w:t>
      </w:r>
      <w:r>
        <w:t xml:space="preserve"> </w:t>
      </w:r>
      <w:r>
        <w:t xml:space="preserve">Use generative models to create hero images, thumbnails and social graphics. Provide prompts referencing tokens (e.g., dark background, orange glow) for brand consistency.</w:t>
      </w:r>
    </w:p>
    <w:p>
      <w:pPr>
        <w:pStyle w:val="Compact"/>
        <w:numPr>
          <w:ilvl w:val="0"/>
          <w:numId w:val="1020"/>
        </w:numPr>
      </w:pPr>
      <w:r>
        <w:rPr>
          <w:b/>
          <w:bCs/>
        </w:rPr>
        <w:t xml:space="preserve">Bulk asset creation:</w:t>
      </w:r>
      <w:r>
        <w:t xml:space="preserve"> </w:t>
      </w:r>
      <w:r>
        <w:t xml:space="preserve">Use Canva bulk create to generate multiple social posts from a spreadsheet of variables.</w:t>
      </w:r>
    </w:p>
    <w:p>
      <w:pPr>
        <w:pStyle w:val="Compact"/>
        <w:numPr>
          <w:ilvl w:val="0"/>
          <w:numId w:val="1020"/>
        </w:numPr>
      </w:pPr>
      <w:r>
        <w:rPr>
          <w:b/>
          <w:bCs/>
        </w:rPr>
        <w:t xml:space="preserve">Publishing:</w:t>
      </w:r>
      <w:r>
        <w:t xml:space="preserve"> </w:t>
      </w:r>
      <w:r>
        <w:t xml:space="preserve">Automate WordPress drafts creation, slug generation, category assignment and scheduling.</w:t>
      </w:r>
    </w:p>
    <w:p>
      <w:pPr>
        <w:pStyle w:val="Compact"/>
        <w:numPr>
          <w:ilvl w:val="0"/>
          <w:numId w:val="1020"/>
        </w:numPr>
      </w:pPr>
      <w:r>
        <w:rPr>
          <w:b/>
          <w:bCs/>
        </w:rPr>
        <w:t xml:space="preserve">Distribution:</w:t>
      </w:r>
      <w:r>
        <w:t xml:space="preserve"> </w:t>
      </w:r>
      <w:r>
        <w:t xml:space="preserve">Schedule social media posts, email newsletters and push notifications automatically after publishing.</w:t>
      </w:r>
    </w:p>
    <w:p>
      <w:pPr>
        <w:pStyle w:val="Compact"/>
        <w:numPr>
          <w:ilvl w:val="0"/>
          <w:numId w:val="1020"/>
        </w:numPr>
      </w:pPr>
      <w:r>
        <w:rPr>
          <w:b/>
          <w:bCs/>
        </w:rPr>
        <w:t xml:space="preserve">Internal linking:</w:t>
      </w:r>
      <w:r>
        <w:t xml:space="preserve"> </w:t>
      </w:r>
      <w:r>
        <w:t xml:space="preserve">Use scripts to identify related posts and insert internal links or cards.</w:t>
      </w:r>
    </w:p>
    <w:p>
      <w:pPr>
        <w:pStyle w:val="Compact"/>
        <w:numPr>
          <w:ilvl w:val="0"/>
          <w:numId w:val="1020"/>
        </w:numPr>
      </w:pPr>
      <w:r>
        <w:rPr>
          <w:b/>
          <w:bCs/>
        </w:rPr>
        <w:t xml:space="preserve">Monitoring:</w:t>
      </w:r>
      <w:r>
        <w:t xml:space="preserve"> </w:t>
      </w:r>
      <w:r>
        <w:t xml:space="preserve">Set up automated dashboards to monitor SEO, performance, analytics and automation health.</w:t>
      </w:r>
    </w:p>
    <w:bookmarkEnd w:id="59"/>
    <w:bookmarkStart w:id="60" w:name="tools-and-frameworks"/>
    <w:p>
      <w:pPr>
        <w:pStyle w:val="Heading3"/>
      </w:pPr>
      <w:r>
        <w:t xml:space="preserve">Tools and frameworks</w:t>
      </w:r>
    </w:p>
    <w:p>
      <w:pPr>
        <w:pStyle w:val="Compact"/>
        <w:numPr>
          <w:ilvl w:val="0"/>
          <w:numId w:val="1021"/>
        </w:numPr>
      </w:pPr>
      <w:r>
        <w:rPr>
          <w:b/>
          <w:bCs/>
        </w:rPr>
        <w:t xml:space="preserve">Google Apps Script:</w:t>
      </w:r>
      <w:r>
        <w:t xml:space="preserve"> </w:t>
      </w:r>
      <w:r>
        <w:t xml:space="preserve">Automate tasks in Google Sheets, Docs and Drive; generate CSV exports; send alerts.</w:t>
      </w:r>
    </w:p>
    <w:p>
      <w:pPr>
        <w:pStyle w:val="Compact"/>
        <w:numPr>
          <w:ilvl w:val="0"/>
          <w:numId w:val="1021"/>
        </w:numPr>
      </w:pPr>
      <w:r>
        <w:rPr>
          <w:b/>
          <w:bCs/>
        </w:rPr>
        <w:t xml:space="preserve">OpenRouter / AI pipelines:</w:t>
      </w:r>
      <w:r>
        <w:t xml:space="preserve"> </w:t>
      </w:r>
      <w:r>
        <w:t xml:space="preserve">Use multi‑model orchestrations to perform summarisation, entity extraction, prompt engineering and generation.</w:t>
      </w:r>
    </w:p>
    <w:p>
      <w:pPr>
        <w:pStyle w:val="Compact"/>
        <w:numPr>
          <w:ilvl w:val="0"/>
          <w:numId w:val="1021"/>
        </w:numPr>
      </w:pPr>
      <w:r>
        <w:rPr>
          <w:b/>
          <w:bCs/>
        </w:rPr>
        <w:t xml:space="preserve">WP‑CLI:</w:t>
      </w:r>
      <w:r>
        <w:t xml:space="preserve"> </w:t>
      </w:r>
      <w:r>
        <w:t xml:space="preserve">Manage WordPress via command line—import posts, activate plugins, clear cache.</w:t>
      </w:r>
    </w:p>
    <w:p>
      <w:pPr>
        <w:pStyle w:val="Compact"/>
        <w:numPr>
          <w:ilvl w:val="0"/>
          <w:numId w:val="1021"/>
        </w:numPr>
      </w:pPr>
      <w:r>
        <w:rPr>
          <w:b/>
          <w:bCs/>
        </w:rPr>
        <w:t xml:space="preserve">Make/Zapier/n8n:</w:t>
      </w:r>
      <w:r>
        <w:t xml:space="preserve"> </w:t>
      </w:r>
      <w:r>
        <w:t xml:space="preserve">Orchestrate multi‑service workflows (e.g., when a new row is added to a sheet, call AI, generate image, upload to WordPress and schedule posts).</w:t>
      </w:r>
    </w:p>
    <w:p>
      <w:pPr>
        <w:pStyle w:val="Compact"/>
        <w:numPr>
          <w:ilvl w:val="0"/>
          <w:numId w:val="1021"/>
        </w:numPr>
      </w:pPr>
      <w:r>
        <w:rPr>
          <w:b/>
          <w:bCs/>
        </w:rPr>
        <w:t xml:space="preserve">Custom plugins:</w:t>
      </w:r>
      <w:r>
        <w:t xml:space="preserve"> </w:t>
      </w:r>
      <w:r>
        <w:t xml:space="preserve">Build bespoke WordPress plugins for integration with AI services or automation tasks.</w:t>
      </w:r>
    </w:p>
    <w:p>
      <w:pPr>
        <w:pStyle w:val="Compact"/>
        <w:numPr>
          <w:ilvl w:val="0"/>
          <w:numId w:val="1021"/>
        </w:numPr>
      </w:pPr>
      <w:r>
        <w:rPr>
          <w:b/>
          <w:bCs/>
        </w:rPr>
        <w:t xml:space="preserve">Python/R scripts:</w:t>
      </w:r>
      <w:r>
        <w:t xml:space="preserve"> </w:t>
      </w:r>
      <w:r>
        <w:t xml:space="preserve">For data analysis, visualisation and machine learning tasks beyond generative AI.</w:t>
      </w:r>
    </w:p>
    <w:bookmarkEnd w:id="60"/>
    <w:bookmarkStart w:id="61" w:name="best-practices"/>
    <w:p>
      <w:pPr>
        <w:pStyle w:val="Heading3"/>
      </w:pPr>
      <w:r>
        <w:t xml:space="preserve">Best practices</w:t>
      </w:r>
    </w:p>
    <w:p>
      <w:pPr>
        <w:pStyle w:val="Compact"/>
        <w:numPr>
          <w:ilvl w:val="0"/>
          <w:numId w:val="1022"/>
        </w:numPr>
      </w:pPr>
      <w:r>
        <w:rPr>
          <w:b/>
          <w:bCs/>
        </w:rPr>
        <w:t xml:space="preserve">Idempotence:</w:t>
      </w:r>
      <w:r>
        <w:t xml:space="preserve"> </w:t>
      </w:r>
      <w:r>
        <w:t xml:space="preserve">Design scripts so they can run multiple times without causing duplication or errors. Use unique identifiers for posts and assets.</w:t>
      </w:r>
    </w:p>
    <w:p>
      <w:pPr>
        <w:pStyle w:val="Compact"/>
        <w:numPr>
          <w:ilvl w:val="0"/>
          <w:numId w:val="1022"/>
        </w:numPr>
      </w:pPr>
      <w:r>
        <w:rPr>
          <w:b/>
          <w:bCs/>
        </w:rPr>
        <w:t xml:space="preserve">Logging:</w:t>
      </w:r>
      <w:r>
        <w:t xml:space="preserve"> </w:t>
      </w:r>
      <w:r>
        <w:t xml:space="preserve">Log all automation tasks with timestamps, status codes, errors and outputs. Store logs centrally and monitor regularly.</w:t>
      </w:r>
    </w:p>
    <w:p>
      <w:pPr>
        <w:pStyle w:val="Compact"/>
        <w:numPr>
          <w:ilvl w:val="0"/>
          <w:numId w:val="1022"/>
        </w:numPr>
      </w:pPr>
      <w:r>
        <w:rPr>
          <w:b/>
          <w:bCs/>
        </w:rPr>
        <w:t xml:space="preserve">Retry mechanisms:</w:t>
      </w:r>
      <w:r>
        <w:t xml:space="preserve"> </w:t>
      </w:r>
      <w:r>
        <w:t xml:space="preserve">Implement retries for network failures or API rate limits. Exponential backoff reduces the load on services.</w:t>
      </w:r>
    </w:p>
    <w:p>
      <w:pPr>
        <w:pStyle w:val="Compact"/>
        <w:numPr>
          <w:ilvl w:val="0"/>
          <w:numId w:val="1022"/>
        </w:numPr>
      </w:pPr>
      <w:r>
        <w:rPr>
          <w:b/>
          <w:bCs/>
        </w:rPr>
        <w:t xml:space="preserve">Error handling:</w:t>
      </w:r>
      <w:r>
        <w:t xml:space="preserve"> </w:t>
      </w:r>
      <w:r>
        <w:t xml:space="preserve">Catch exceptions; send notifications for manual intervention; store failed items in a queue.</w:t>
      </w:r>
    </w:p>
    <w:p>
      <w:pPr>
        <w:pStyle w:val="Compact"/>
        <w:numPr>
          <w:ilvl w:val="0"/>
          <w:numId w:val="1022"/>
        </w:numPr>
      </w:pPr>
      <w:r>
        <w:rPr>
          <w:b/>
          <w:bCs/>
        </w:rPr>
        <w:t xml:space="preserve">Configuration management:</w:t>
      </w:r>
      <w:r>
        <w:t xml:space="preserve"> </w:t>
      </w:r>
      <w:r>
        <w:t xml:space="preserve">Store API keys, endpoints and settings in secure, version‑controlled configuration files or environment variables.</w:t>
      </w:r>
    </w:p>
    <w:p>
      <w:pPr>
        <w:pStyle w:val="Compact"/>
        <w:numPr>
          <w:ilvl w:val="0"/>
          <w:numId w:val="1022"/>
        </w:numPr>
      </w:pPr>
      <w:r>
        <w:rPr>
          <w:b/>
          <w:bCs/>
        </w:rPr>
        <w:t xml:space="preserve">Testing:</w:t>
      </w:r>
      <w:r>
        <w:t xml:space="preserve"> </w:t>
      </w:r>
      <w:r>
        <w:t xml:space="preserve">Write unit and integration tests for scripts. Use staging environments to test automation before deploying to production.</w:t>
      </w:r>
    </w:p>
    <w:bookmarkEnd w:id="61"/>
    <w:bookmarkEnd w:id="62"/>
    <w:bookmarkStart w:id="89" w:name="section-15-design-system"/>
    <w:p>
      <w:pPr>
        <w:pStyle w:val="Heading2"/>
      </w:pPr>
      <w:r>
        <w:t xml:space="preserve">Section 15 – Design System</w:t>
      </w:r>
    </w:p>
    <w:p>
      <w:pPr>
        <w:pStyle w:val="FirstParagraph"/>
      </w:pPr>
      <w:r>
        <w:t xml:space="preserve">The NextGenSense Global Design System (</w:t>
      </w:r>
      <w:r>
        <w:rPr>
          <w:b/>
          <w:bCs/>
        </w:rPr>
        <w:t xml:space="preserve">NGDS</w:t>
      </w:r>
      <w:r>
        <w:t xml:space="preserve">) defines every visual and interactive aspect of the platform. It comprises tokens, foundations, components and patterns. Each subsection below describes its parts in detail.</w:t>
      </w:r>
    </w:p>
    <w:bookmarkStart w:id="70" w:name="design-tokens"/>
    <w:p>
      <w:pPr>
        <w:pStyle w:val="Heading3"/>
      </w:pPr>
      <w:r>
        <w:t xml:space="preserve">15.1 Design tokens</w:t>
      </w:r>
    </w:p>
    <w:p>
      <w:pPr>
        <w:pStyle w:val="FirstParagraph"/>
      </w:pPr>
      <w:r>
        <w:t xml:space="preserve">Tokens are represented in four categories:</w:t>
      </w:r>
      <w:r>
        <w:t xml:space="preserve"> </w:t>
      </w:r>
      <w:r>
        <w:rPr>
          <w:b/>
          <w:bCs/>
        </w:rPr>
        <w:t xml:space="preserve">core tokens</w:t>
      </w:r>
      <w:r>
        <w:t xml:space="preserve">,</w:t>
      </w:r>
      <w:r>
        <w:t xml:space="preserve"> </w:t>
      </w:r>
      <w:r>
        <w:rPr>
          <w:b/>
          <w:bCs/>
        </w:rPr>
        <w:t xml:space="preserve">semantic tokens</w:t>
      </w:r>
      <w:r>
        <w:t xml:space="preserve">,</w:t>
      </w:r>
      <w:r>
        <w:t xml:space="preserve"> </w:t>
      </w:r>
      <w:r>
        <w:rPr>
          <w:b/>
          <w:bCs/>
        </w:rPr>
        <w:t xml:space="preserve">component tokens</w:t>
      </w:r>
      <w:r>
        <w:t xml:space="preserve"> </w:t>
      </w:r>
      <w:r>
        <w:t xml:space="preserve">and</w:t>
      </w:r>
      <w:r>
        <w:t xml:space="preserve"> </w:t>
      </w:r>
      <w:r>
        <w:rPr>
          <w:b/>
          <w:bCs/>
        </w:rPr>
        <w:t xml:space="preserve">state tokens</w:t>
      </w:r>
      <w:r>
        <w:t xml:space="preserve">. Each token includes a name, CSS variable, Elementor variable, value (hex or numeric), usage notes and accessibility considerations. The following examples illustrate the structure:</w:t>
      </w:r>
    </w:p>
    <w:bookmarkStart w:id="63" w:name="core-colour-tokens"/>
    <w:p>
      <w:pPr>
        <w:pStyle w:val="Heading4"/>
      </w:pPr>
      <w:r>
        <w:t xml:space="preserve">15.1.1 Core colour tokens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Token name</w:t>
            </w:r>
          </w:p>
        </w:tc>
        <w:tc>
          <w:tcPr/>
          <w:p>
            <w:pPr>
              <w:pStyle w:val="Compact"/>
            </w:pPr>
            <w:r>
              <w:t xml:space="preserve">CSS variable</w:t>
            </w:r>
          </w:p>
        </w:tc>
        <w:tc>
          <w:tcPr/>
          <w:p>
            <w:pPr>
              <w:pStyle w:val="Compact"/>
            </w:pPr>
            <w:r>
              <w:t xml:space="preserve">Elementor variable</w:t>
            </w:r>
          </w:p>
        </w:tc>
        <w:tc>
          <w:tcPr/>
          <w:p>
            <w:pPr>
              <w:pStyle w:val="Compact"/>
            </w:pPr>
            <w:r>
              <w:t xml:space="preserve">Value</w:t>
            </w:r>
          </w:p>
        </w:tc>
        <w:tc>
          <w:tcPr/>
          <w:p>
            <w:pPr>
              <w:pStyle w:val="Compact"/>
            </w:pPr>
            <w:r>
              <w:t xml:space="preserve">Usage</w:t>
            </w:r>
          </w:p>
        </w:tc>
        <w:tc>
          <w:tcPr/>
          <w:p>
            <w:pPr>
              <w:pStyle w:val="Compact"/>
            </w:pPr>
            <w:r>
              <w:t xml:space="preserve">Notes</w:t>
            </w:r>
          </w:p>
        </w:tc>
      </w:tr>
      <w:tr>
        <w:tc>
          <w:tcPr/>
          <w:p>
            <w:pPr>
              <w:pStyle w:val="Compact"/>
            </w:pPr>
            <w:r>
              <w:rPr>
                <w:rStyle w:val="VerbatimChar"/>
              </w:rPr>
              <w:t xml:space="preserve">color-brand-orange-500</w:t>
            </w:r>
          </w:p>
        </w:tc>
        <w:tc>
          <w:tcPr/>
          <w:p>
            <w:pPr>
              <w:pStyle w:val="Compact"/>
            </w:pPr>
            <w:r>
              <w:rPr>
                <w:rStyle w:val="VerbatimChar"/>
              </w:rPr>
              <w:t xml:space="preserve">--color-brand-orange-500</w:t>
            </w:r>
          </w:p>
        </w:tc>
        <w:tc>
          <w:tcPr/>
          <w:p>
            <w:pPr>
              <w:pStyle w:val="Compact"/>
            </w:pPr>
            <w:r>
              <w:rPr>
                <w:rStyle w:val="VerbatimChar"/>
              </w:rPr>
              <w:t xml:space="preserve">Primary Color</w:t>
            </w:r>
          </w:p>
        </w:tc>
        <w:tc>
          <w:tcPr/>
          <w:p>
            <w:pPr>
              <w:pStyle w:val="Compact"/>
            </w:pPr>
            <w:r>
              <w:rPr>
                <w:rStyle w:val="VerbatimChar"/>
              </w:rPr>
              <w:t xml:space="preserve">#FF4F00</w:t>
            </w:r>
          </w:p>
        </w:tc>
        <w:tc>
          <w:tcPr/>
          <w:p>
            <w:pPr>
              <w:pStyle w:val="Compact"/>
            </w:pPr>
            <w:r>
              <w:t xml:space="preserve">Primary accent for urgent content (AI crime, breaking news)</w:t>
            </w:r>
          </w:p>
        </w:tc>
        <w:tc>
          <w:tcPr/>
          <w:p>
            <w:pPr>
              <w:pStyle w:val="Compact"/>
            </w:pPr>
            <w:r>
              <w:t xml:space="preserve">Ensure contrast ratio ≥ 4.5 : 1 on dark backgrounds</w:t>
            </w:r>
            <w:hyperlink r:id="rId21">
              <w:r>
                <w:rPr>
                  <w:rStyle w:val="Hyperlink"/>
                </w:rPr>
                <w:t xml:space="preserve">[1]</w:t>
              </w:r>
            </w:hyperlink>
            <w:r>
              <w:t xml:space="preserve">.</w:t>
            </w:r>
          </w:p>
        </w:tc>
      </w:tr>
      <w:tr>
        <w:tc>
          <w:tcPr/>
          <w:p>
            <w:pPr>
              <w:pStyle w:val="Compact"/>
            </w:pPr>
            <w:r>
              <w:rPr>
                <w:rStyle w:val="VerbatimChar"/>
              </w:rPr>
              <w:t xml:space="preserve">color-brand-lime-500</w:t>
            </w:r>
          </w:p>
        </w:tc>
        <w:tc>
          <w:tcPr/>
          <w:p>
            <w:pPr>
              <w:pStyle w:val="Compact"/>
            </w:pPr>
            <w:r>
              <w:rPr>
                <w:rStyle w:val="VerbatimChar"/>
              </w:rPr>
              <w:t xml:space="preserve">--color-brand-lime-500</w:t>
            </w:r>
          </w:p>
        </w:tc>
        <w:tc>
          <w:tcPr/>
          <w:p>
            <w:pPr>
              <w:pStyle w:val="Compact"/>
            </w:pPr>
            <w:r>
              <w:rPr>
                <w:rStyle w:val="VerbatimChar"/>
              </w:rPr>
              <w:t xml:space="preserve">Secondary Color</w:t>
            </w:r>
          </w:p>
        </w:tc>
        <w:tc>
          <w:tcPr/>
          <w:p>
            <w:pPr>
              <w:pStyle w:val="Compact"/>
            </w:pPr>
            <w:r>
              <w:rPr>
                <w:rStyle w:val="VerbatimChar"/>
              </w:rPr>
              <w:t xml:space="preserve">#A3E035</w:t>
            </w:r>
          </w:p>
        </w:tc>
        <w:tc>
          <w:tcPr/>
          <w:p>
            <w:pPr>
              <w:pStyle w:val="Compact"/>
            </w:pPr>
            <w:r>
              <w:t xml:space="preserve">Secondary accent for verification or confirmed stories</w:t>
            </w:r>
          </w:p>
        </w:tc>
        <w:tc>
          <w:tcPr/>
          <w:p>
            <w:pPr>
              <w:pStyle w:val="Compact"/>
            </w:pPr>
            <w:r>
              <w:t xml:space="preserve">Use sparingly; high saturation may distract.</w:t>
            </w:r>
          </w:p>
        </w:tc>
      </w:tr>
      <w:tr>
        <w:tc>
          <w:tcPr/>
          <w:p>
            <w:pPr>
              <w:pStyle w:val="Compact"/>
            </w:pPr>
            <w:r>
              <w:rPr>
                <w:rStyle w:val="VerbatimChar"/>
              </w:rPr>
              <w:t xml:space="preserve">color-canvas-black</w:t>
            </w:r>
          </w:p>
        </w:tc>
        <w:tc>
          <w:tcPr/>
          <w:p>
            <w:pPr>
              <w:pStyle w:val="Compact"/>
            </w:pPr>
            <w:r>
              <w:rPr>
                <w:rStyle w:val="VerbatimChar"/>
              </w:rPr>
              <w:t xml:space="preserve">--color-canvas-black</w:t>
            </w:r>
          </w:p>
        </w:tc>
        <w:tc>
          <w:tcPr/>
          <w:p>
            <w:pPr>
              <w:pStyle w:val="Compact"/>
            </w:pPr>
            <w:r>
              <w:rPr>
                <w:rStyle w:val="VerbatimChar"/>
              </w:rPr>
              <w:t xml:space="preserve">Background Color</w:t>
            </w:r>
          </w:p>
        </w:tc>
        <w:tc>
          <w:tcPr/>
          <w:p>
            <w:pPr>
              <w:pStyle w:val="Compact"/>
            </w:pPr>
            <w:r>
              <w:rPr>
                <w:rStyle w:val="VerbatimChar"/>
              </w:rPr>
              <w:t xml:space="preserve">#0A0A09</w:t>
            </w:r>
          </w:p>
        </w:tc>
        <w:tc>
          <w:tcPr/>
          <w:p>
            <w:pPr>
              <w:pStyle w:val="Compact"/>
            </w:pPr>
            <w:r>
              <w:t xml:space="preserve">Default page background</w:t>
            </w:r>
          </w:p>
        </w:tc>
        <w:tc>
          <w:tcPr/>
          <w:p>
            <w:pPr>
              <w:pStyle w:val="Compact"/>
            </w:pPr>
            <w:r>
              <w:t xml:space="preserve">All text must meet contrast requirements; avoid pure black on white for dyslexia</w:t>
            </w:r>
            <w:hyperlink r:id="rId24">
              <w:r>
                <w:rPr>
                  <w:rStyle w:val="Hyperlink"/>
                </w:rPr>
                <w:t xml:space="preserve">[3]</w:t>
              </w:r>
            </w:hyperlink>
            <w:r>
              <w:t xml:space="preserve">.</w:t>
            </w:r>
          </w:p>
        </w:tc>
      </w:tr>
      <w:tr>
        <w:tc>
          <w:tcPr/>
          <w:p>
            <w:pPr>
              <w:pStyle w:val="Compact"/>
            </w:pPr>
            <w:r>
              <w:rPr>
                <w:rStyle w:val="VerbatimChar"/>
              </w:rPr>
              <w:t xml:space="preserve">color-neutral-100</w:t>
            </w:r>
          </w:p>
        </w:tc>
        <w:tc>
          <w:tcPr/>
          <w:p>
            <w:pPr>
              <w:pStyle w:val="Compact"/>
            </w:pPr>
            <w:r>
              <w:rPr>
                <w:rStyle w:val="VerbatimChar"/>
              </w:rPr>
              <w:t xml:space="preserve">--color-neutral-100</w:t>
            </w:r>
          </w:p>
        </w:tc>
        <w:tc>
          <w:tcPr/>
          <w:p>
            <w:pPr>
              <w:pStyle w:val="Compact"/>
            </w:pPr>
            <w:r>
              <w:rPr>
                <w:rStyle w:val="VerbatimChar"/>
              </w:rPr>
              <w:t xml:space="preserve">Light Gray</w:t>
            </w:r>
          </w:p>
        </w:tc>
        <w:tc>
          <w:tcPr/>
          <w:p>
            <w:pPr>
              <w:pStyle w:val="Compact"/>
            </w:pPr>
            <w:r>
              <w:rPr>
                <w:rStyle w:val="VerbatimChar"/>
              </w:rPr>
              <w:t xml:space="preserve">#F5F5F5</w:t>
            </w:r>
          </w:p>
        </w:tc>
        <w:tc>
          <w:tcPr/>
          <w:p>
            <w:pPr>
              <w:pStyle w:val="Compact"/>
            </w:pPr>
            <w:r>
              <w:t xml:space="preserve">Light surfaces (cards, secondary backgrounds)</w:t>
            </w:r>
          </w:p>
        </w:tc>
        <w:tc>
          <w:tcPr/>
          <w:p>
            <w:pPr>
              <w:pStyle w:val="Compact"/>
            </w:pPr>
            <w:r>
              <w:t xml:space="preserve">Use for elevated surfaces on dark backgrounds.</w:t>
            </w:r>
          </w:p>
        </w:tc>
      </w:tr>
      <w:tr>
        <w:tc>
          <w:tcPr/>
          <w:p>
            <w:pPr>
              <w:pStyle w:val="Compact"/>
            </w:pPr>
            <w:r>
              <w:rPr>
                <w:rStyle w:val="VerbatimChar"/>
              </w:rPr>
              <w:t xml:space="preserve">color-neutral-900</w:t>
            </w:r>
          </w:p>
        </w:tc>
        <w:tc>
          <w:tcPr/>
          <w:p>
            <w:pPr>
              <w:pStyle w:val="Compact"/>
            </w:pPr>
            <w:r>
              <w:rPr>
                <w:rStyle w:val="VerbatimChar"/>
              </w:rPr>
              <w:t xml:space="preserve">--color-neutral-900</w:t>
            </w:r>
          </w:p>
        </w:tc>
        <w:tc>
          <w:tcPr/>
          <w:p>
            <w:pPr>
              <w:pStyle w:val="Compact"/>
            </w:pPr>
            <w:r>
              <w:rPr>
                <w:rStyle w:val="VerbatimChar"/>
              </w:rPr>
              <w:t xml:space="preserve">Dark Gray</w:t>
            </w:r>
          </w:p>
        </w:tc>
        <w:tc>
          <w:tcPr/>
          <w:p>
            <w:pPr>
              <w:pStyle w:val="Compact"/>
            </w:pPr>
            <w:r>
              <w:rPr>
                <w:rStyle w:val="VerbatimChar"/>
              </w:rPr>
              <w:t xml:space="preserve">#1A1A1A</w:t>
            </w:r>
          </w:p>
        </w:tc>
        <w:tc>
          <w:tcPr/>
          <w:p>
            <w:pPr>
              <w:pStyle w:val="Compact"/>
            </w:pPr>
            <w:r>
              <w:t xml:space="preserve">Dark surfaces (footers, modals)</w:t>
            </w:r>
          </w:p>
        </w:tc>
        <w:tc>
          <w:tcPr/>
          <w:p>
            <w:pPr>
              <w:pStyle w:val="Compact"/>
            </w:pPr>
            <w:r>
              <w:t xml:space="preserve">Ensure layering of neutrals for depth.</w:t>
            </w:r>
          </w:p>
        </w:tc>
      </w:tr>
      <w:tr>
        <w:tc>
          <w:tcPr/>
          <w:p>
            <w:pPr>
              <w:pStyle w:val="Compact"/>
            </w:pPr>
            <w:r>
              <w:rPr>
                <w:rStyle w:val="VerbatimChar"/>
              </w:rPr>
              <w:t xml:space="preserve">color-amber-500</w:t>
            </w:r>
          </w:p>
        </w:tc>
        <w:tc>
          <w:tcPr/>
          <w:p>
            <w:pPr>
              <w:pStyle w:val="Compact"/>
            </w:pPr>
            <w:r>
              <w:rPr>
                <w:rStyle w:val="VerbatimChar"/>
              </w:rPr>
              <w:t xml:space="preserve">--color-amber-500</w:t>
            </w:r>
          </w:p>
        </w:tc>
        <w:tc>
          <w:tcPr/>
          <w:p>
            <w:pPr>
              <w:pStyle w:val="Compact"/>
            </w:pPr>
            <w:r>
              <w:rPr>
                <w:rStyle w:val="VerbatimChar"/>
              </w:rPr>
              <w:t xml:space="preserve">Alert Color</w:t>
            </w:r>
          </w:p>
        </w:tc>
        <w:tc>
          <w:tcPr/>
          <w:p>
            <w:pPr>
              <w:pStyle w:val="Compact"/>
            </w:pPr>
            <w:r>
              <w:rPr>
                <w:rStyle w:val="VerbatimChar"/>
              </w:rPr>
              <w:t xml:space="preserve">#F08E00</w:t>
            </w:r>
          </w:p>
        </w:tc>
        <w:tc>
          <w:tcPr/>
          <w:p>
            <w:pPr>
              <w:pStyle w:val="Compact"/>
            </w:pPr>
            <w:r>
              <w:t xml:space="preserve">Alert statuses (warnings, potential risk)</w:t>
            </w:r>
          </w:p>
        </w:tc>
        <w:tc>
          <w:tcPr/>
          <w:p>
            <w:pPr>
              <w:pStyle w:val="Compact"/>
            </w:pPr>
            <w:r>
              <w:t xml:space="preserve">Use for caution messages or pending verification.</w:t>
            </w:r>
          </w:p>
        </w:tc>
      </w:tr>
      <w:tr>
        <w:tc>
          <w:tcPr/>
          <w:p>
            <w:pPr>
              <w:pStyle w:val="Compact"/>
            </w:pPr>
            <w:r>
              <w:rPr>
                <w:rStyle w:val="VerbatimChar"/>
              </w:rPr>
              <w:t xml:space="preserve">color-rust-500</w:t>
            </w:r>
          </w:p>
        </w:tc>
        <w:tc>
          <w:tcPr/>
          <w:p>
            <w:pPr>
              <w:pStyle w:val="Compact"/>
            </w:pPr>
            <w:r>
              <w:rPr>
                <w:rStyle w:val="VerbatimChar"/>
              </w:rPr>
              <w:t xml:space="preserve">--color-rust-500</w:t>
            </w:r>
          </w:p>
        </w:tc>
        <w:tc>
          <w:tcPr/>
          <w:p>
            <w:pPr>
              <w:pStyle w:val="Compact"/>
            </w:pPr>
            <w:r>
              <w:rPr>
                <w:rStyle w:val="VerbatimChar"/>
              </w:rPr>
              <w:t xml:space="preserve">Error Color</w:t>
            </w:r>
          </w:p>
        </w:tc>
        <w:tc>
          <w:tcPr/>
          <w:p>
            <w:pPr>
              <w:pStyle w:val="Compact"/>
            </w:pPr>
            <w:r>
              <w:rPr>
                <w:rStyle w:val="VerbatimChar"/>
              </w:rPr>
              <w:t xml:space="preserve">#C1440E</w:t>
            </w:r>
          </w:p>
        </w:tc>
        <w:tc>
          <w:tcPr/>
          <w:p>
            <w:pPr>
              <w:pStyle w:val="Compact"/>
            </w:pPr>
            <w:r>
              <w:t xml:space="preserve">Error states and dangerous statuses</w:t>
            </w:r>
          </w:p>
        </w:tc>
        <w:tc>
          <w:tcPr/>
          <w:p>
            <w:pPr>
              <w:pStyle w:val="Compact"/>
            </w:pPr>
            <w:r>
              <w:t xml:space="preserve">Use to signal strong negative or critical conditions.</w:t>
            </w:r>
          </w:p>
        </w:tc>
      </w:tr>
    </w:tbl>
    <w:p>
      <w:pPr>
        <w:pStyle w:val="BodyText"/>
      </w:pPr>
      <w:r>
        <w:t xml:space="preserve">Colour grades (e.g., 100–900) define lighter and darker variations. Use differences of 50 or more between grades to achieve accessible contrast</w:t>
      </w:r>
      <w:hyperlink r:id="rId30">
        <w:r>
          <w:rPr>
            <w:rStyle w:val="Hyperlink"/>
          </w:rPr>
          <w:t xml:space="preserve">[4]</w:t>
        </w:r>
      </w:hyperlink>
      <w:r>
        <w:t xml:space="preserve">.</w:t>
      </w:r>
    </w:p>
    <w:bookmarkEnd w:id="63"/>
    <w:bookmarkStart w:id="64" w:name="typography-tokens"/>
    <w:p>
      <w:pPr>
        <w:pStyle w:val="Heading4"/>
      </w:pPr>
      <w:r>
        <w:t xml:space="preserve">15.1.2 Typography tokens</w:t>
      </w:r>
    </w:p>
    <w:p>
      <w:pPr>
        <w:pStyle w:val="FirstParagraph"/>
      </w:pPr>
      <w:r>
        <w:t xml:space="preserve">Define the typographic scale using</w:t>
      </w:r>
      <w:r>
        <w:t xml:space="preserve"> </w:t>
      </w:r>
      <w:r>
        <w:rPr>
          <w:rStyle w:val="VerbatimChar"/>
        </w:rPr>
        <w:t xml:space="preserve">rem</w:t>
      </w:r>
      <w:r>
        <w:t xml:space="preserve"> </w:t>
      </w:r>
      <w:r>
        <w:t xml:space="preserve">units. Choose typefaces that align with the brand (monospaced or semi‑monospaced for display; humanist sans‑serif for body). Example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 name</w:t>
            </w:r>
          </w:p>
        </w:tc>
        <w:tc>
          <w:tcPr/>
          <w:p>
            <w:pPr>
              <w:pStyle w:val="Compact"/>
            </w:pPr>
            <w:r>
              <w:t xml:space="preserve">CSS variable</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font-family-display</w:t>
            </w:r>
          </w:p>
        </w:tc>
        <w:tc>
          <w:tcPr/>
          <w:p>
            <w:pPr>
              <w:pStyle w:val="Compact"/>
            </w:pPr>
            <w:r>
              <w:rPr>
                <w:rStyle w:val="VerbatimChar"/>
              </w:rPr>
              <w:t xml:space="preserve">--font-family-display</w:t>
            </w:r>
          </w:p>
        </w:tc>
        <w:tc>
          <w:tcPr/>
          <w:p>
            <w:pPr>
              <w:pStyle w:val="Compact"/>
            </w:pPr>
            <w:r>
              <w:rPr>
                <w:rStyle w:val="VerbatimChar"/>
              </w:rPr>
              <w:t xml:space="preserve">'IBM Plex Mono', monospace</w:t>
            </w:r>
          </w:p>
        </w:tc>
        <w:tc>
          <w:tcPr/>
          <w:p>
            <w:pPr>
              <w:pStyle w:val="Compact"/>
            </w:pPr>
            <w:r>
              <w:t xml:space="preserve">Hero headlines, large numbers, code metaphors</w:t>
            </w:r>
          </w:p>
        </w:tc>
      </w:tr>
      <w:tr>
        <w:tc>
          <w:tcPr/>
          <w:p>
            <w:pPr>
              <w:pStyle w:val="Compact"/>
            </w:pPr>
            <w:r>
              <w:rPr>
                <w:rStyle w:val="VerbatimChar"/>
              </w:rPr>
              <w:t xml:space="preserve">font-family-body</w:t>
            </w:r>
          </w:p>
        </w:tc>
        <w:tc>
          <w:tcPr/>
          <w:p>
            <w:pPr>
              <w:pStyle w:val="Compact"/>
            </w:pPr>
            <w:r>
              <w:rPr>
                <w:rStyle w:val="VerbatimChar"/>
              </w:rPr>
              <w:t xml:space="preserve">--font-family-body</w:t>
            </w:r>
          </w:p>
        </w:tc>
        <w:tc>
          <w:tcPr/>
          <w:p>
            <w:pPr>
              <w:pStyle w:val="Compact"/>
            </w:pPr>
            <w:r>
              <w:rPr>
                <w:rStyle w:val="VerbatimChar"/>
              </w:rPr>
              <w:t xml:space="preserve">'Inter', sans-serif</w:t>
            </w:r>
          </w:p>
        </w:tc>
        <w:tc>
          <w:tcPr/>
          <w:p>
            <w:pPr>
              <w:pStyle w:val="Compact"/>
            </w:pPr>
            <w:r>
              <w:t xml:space="preserve">Body text, captions, UI labels</w:t>
            </w:r>
          </w:p>
        </w:tc>
      </w:tr>
      <w:tr>
        <w:tc>
          <w:tcPr/>
          <w:p>
            <w:pPr>
              <w:pStyle w:val="Compact"/>
            </w:pPr>
            <w:r>
              <w:rPr>
                <w:rStyle w:val="VerbatimChar"/>
              </w:rPr>
              <w:t xml:space="preserve">font-size-xxxl</w:t>
            </w:r>
          </w:p>
        </w:tc>
        <w:tc>
          <w:tcPr/>
          <w:p>
            <w:pPr>
              <w:pStyle w:val="Compact"/>
            </w:pPr>
            <w:r>
              <w:rPr>
                <w:rStyle w:val="VerbatimChar"/>
              </w:rPr>
              <w:t xml:space="preserve">--font-size-xxxl</w:t>
            </w:r>
          </w:p>
        </w:tc>
        <w:tc>
          <w:tcPr/>
          <w:p>
            <w:pPr>
              <w:pStyle w:val="Compact"/>
            </w:pPr>
            <w:r>
              <w:rPr>
                <w:rStyle w:val="VerbatimChar"/>
              </w:rPr>
              <w:t xml:space="preserve">4rem</w:t>
            </w:r>
          </w:p>
        </w:tc>
        <w:tc>
          <w:tcPr/>
          <w:p>
            <w:pPr>
              <w:pStyle w:val="Compact"/>
            </w:pPr>
            <w:r>
              <w:t xml:space="preserve">Massive hero headlines</w:t>
            </w:r>
          </w:p>
        </w:tc>
      </w:tr>
      <w:tr>
        <w:tc>
          <w:tcPr/>
          <w:p>
            <w:pPr>
              <w:pStyle w:val="Compact"/>
            </w:pPr>
            <w:r>
              <w:rPr>
                <w:rStyle w:val="VerbatimChar"/>
              </w:rPr>
              <w:t xml:space="preserve">font-size-xxl</w:t>
            </w:r>
          </w:p>
        </w:tc>
        <w:tc>
          <w:tcPr/>
          <w:p>
            <w:pPr>
              <w:pStyle w:val="Compact"/>
            </w:pPr>
            <w:r>
              <w:rPr>
                <w:rStyle w:val="VerbatimChar"/>
              </w:rPr>
              <w:t xml:space="preserve">--font-size-xxl</w:t>
            </w:r>
          </w:p>
        </w:tc>
        <w:tc>
          <w:tcPr/>
          <w:p>
            <w:pPr>
              <w:pStyle w:val="Compact"/>
            </w:pPr>
            <w:r>
              <w:rPr>
                <w:rStyle w:val="VerbatimChar"/>
              </w:rPr>
              <w:t xml:space="preserve">3rem</w:t>
            </w:r>
          </w:p>
        </w:tc>
        <w:tc>
          <w:tcPr/>
          <w:p>
            <w:pPr>
              <w:pStyle w:val="Compact"/>
            </w:pPr>
            <w:r>
              <w:t xml:space="preserve">Section headlines</w:t>
            </w:r>
          </w:p>
        </w:tc>
      </w:tr>
      <w:tr>
        <w:tc>
          <w:tcPr/>
          <w:p>
            <w:pPr>
              <w:pStyle w:val="Compact"/>
            </w:pPr>
            <w:r>
              <w:rPr>
                <w:rStyle w:val="VerbatimChar"/>
              </w:rPr>
              <w:t xml:space="preserve">font-size-xl</w:t>
            </w:r>
          </w:p>
        </w:tc>
        <w:tc>
          <w:tcPr/>
          <w:p>
            <w:pPr>
              <w:pStyle w:val="Compact"/>
            </w:pPr>
            <w:r>
              <w:rPr>
                <w:rStyle w:val="VerbatimChar"/>
              </w:rPr>
              <w:t xml:space="preserve">--font-size-xl</w:t>
            </w:r>
          </w:p>
        </w:tc>
        <w:tc>
          <w:tcPr/>
          <w:p>
            <w:pPr>
              <w:pStyle w:val="Compact"/>
            </w:pPr>
            <w:r>
              <w:rPr>
                <w:rStyle w:val="VerbatimChar"/>
              </w:rPr>
              <w:t xml:space="preserve">2.25rem</w:t>
            </w:r>
          </w:p>
        </w:tc>
        <w:tc>
          <w:tcPr/>
          <w:p>
            <w:pPr>
              <w:pStyle w:val="Compact"/>
            </w:pPr>
            <w:r>
              <w:t xml:space="preserve">Subheadings, callouts</w:t>
            </w:r>
          </w:p>
        </w:tc>
      </w:tr>
      <w:tr>
        <w:tc>
          <w:tcPr/>
          <w:p>
            <w:pPr>
              <w:pStyle w:val="Compact"/>
            </w:pPr>
            <w:r>
              <w:rPr>
                <w:rStyle w:val="VerbatimChar"/>
              </w:rPr>
              <w:t xml:space="preserve">font-size-lg</w:t>
            </w:r>
          </w:p>
        </w:tc>
        <w:tc>
          <w:tcPr/>
          <w:p>
            <w:pPr>
              <w:pStyle w:val="Compact"/>
            </w:pPr>
            <w:r>
              <w:rPr>
                <w:rStyle w:val="VerbatimChar"/>
              </w:rPr>
              <w:t xml:space="preserve">--font-size-lg</w:t>
            </w:r>
          </w:p>
        </w:tc>
        <w:tc>
          <w:tcPr/>
          <w:p>
            <w:pPr>
              <w:pStyle w:val="Compact"/>
            </w:pPr>
            <w:r>
              <w:rPr>
                <w:rStyle w:val="VerbatimChar"/>
              </w:rPr>
              <w:t xml:space="preserve">1.5rem</w:t>
            </w:r>
          </w:p>
        </w:tc>
        <w:tc>
          <w:tcPr/>
          <w:p>
            <w:pPr>
              <w:pStyle w:val="Compact"/>
            </w:pPr>
            <w:r>
              <w:t xml:space="preserve">Body large</w:t>
            </w:r>
          </w:p>
        </w:tc>
      </w:tr>
      <w:tr>
        <w:tc>
          <w:tcPr/>
          <w:p>
            <w:pPr>
              <w:pStyle w:val="Compact"/>
            </w:pPr>
            <w:r>
              <w:rPr>
                <w:rStyle w:val="VerbatimChar"/>
              </w:rPr>
              <w:t xml:space="preserve">font-size-md</w:t>
            </w:r>
          </w:p>
        </w:tc>
        <w:tc>
          <w:tcPr/>
          <w:p>
            <w:pPr>
              <w:pStyle w:val="Compact"/>
            </w:pPr>
            <w:r>
              <w:rPr>
                <w:rStyle w:val="VerbatimChar"/>
              </w:rPr>
              <w:t xml:space="preserve">--font-size-md</w:t>
            </w:r>
          </w:p>
        </w:tc>
        <w:tc>
          <w:tcPr/>
          <w:p>
            <w:pPr>
              <w:pStyle w:val="Compact"/>
            </w:pPr>
            <w:r>
              <w:rPr>
                <w:rStyle w:val="VerbatimChar"/>
              </w:rPr>
              <w:t xml:space="preserve">1.125rem</w:t>
            </w:r>
          </w:p>
        </w:tc>
        <w:tc>
          <w:tcPr/>
          <w:p>
            <w:pPr>
              <w:pStyle w:val="Compact"/>
            </w:pPr>
            <w:r>
              <w:t xml:space="preserve">Standard body text</w:t>
            </w:r>
          </w:p>
        </w:tc>
      </w:tr>
      <w:tr>
        <w:tc>
          <w:tcPr/>
          <w:p>
            <w:pPr>
              <w:pStyle w:val="Compact"/>
            </w:pPr>
            <w:r>
              <w:rPr>
                <w:rStyle w:val="VerbatimChar"/>
              </w:rPr>
              <w:t xml:space="preserve">font-size-sm</w:t>
            </w:r>
          </w:p>
        </w:tc>
        <w:tc>
          <w:tcPr/>
          <w:p>
            <w:pPr>
              <w:pStyle w:val="Compact"/>
            </w:pPr>
            <w:r>
              <w:rPr>
                <w:rStyle w:val="VerbatimChar"/>
              </w:rPr>
              <w:t xml:space="preserve">--font-size-sm</w:t>
            </w:r>
          </w:p>
        </w:tc>
        <w:tc>
          <w:tcPr/>
          <w:p>
            <w:pPr>
              <w:pStyle w:val="Compact"/>
            </w:pPr>
            <w:r>
              <w:rPr>
                <w:rStyle w:val="VerbatimChar"/>
              </w:rPr>
              <w:t xml:space="preserve">0.875rem</w:t>
            </w:r>
          </w:p>
        </w:tc>
        <w:tc>
          <w:tcPr/>
          <w:p>
            <w:pPr>
              <w:pStyle w:val="Compact"/>
            </w:pPr>
            <w:r>
              <w:t xml:space="preserve">Captions, footnotes</w:t>
            </w:r>
          </w:p>
        </w:tc>
      </w:tr>
      <w:tr>
        <w:tc>
          <w:tcPr/>
          <w:p>
            <w:pPr>
              <w:pStyle w:val="Compact"/>
            </w:pPr>
            <w:r>
              <w:rPr>
                <w:rStyle w:val="VerbatimChar"/>
              </w:rPr>
              <w:t xml:space="preserve">line-height-tight</w:t>
            </w:r>
          </w:p>
        </w:tc>
        <w:tc>
          <w:tcPr/>
          <w:p>
            <w:pPr>
              <w:pStyle w:val="Compact"/>
            </w:pPr>
            <w:r>
              <w:rPr>
                <w:rStyle w:val="VerbatimChar"/>
              </w:rPr>
              <w:t xml:space="preserve">--line-height-tight</w:t>
            </w:r>
          </w:p>
        </w:tc>
        <w:tc>
          <w:tcPr/>
          <w:p>
            <w:pPr>
              <w:pStyle w:val="Compact"/>
            </w:pPr>
            <w:r>
              <w:rPr>
                <w:rStyle w:val="VerbatimChar"/>
              </w:rPr>
              <w:t xml:space="preserve">1.1</w:t>
            </w:r>
          </w:p>
        </w:tc>
        <w:tc>
          <w:tcPr/>
          <w:p>
            <w:pPr>
              <w:pStyle w:val="Compact"/>
            </w:pPr>
            <w:r>
              <w:t xml:space="preserve">Display headlines</w:t>
            </w:r>
          </w:p>
        </w:tc>
      </w:tr>
      <w:tr>
        <w:tc>
          <w:tcPr/>
          <w:p>
            <w:pPr>
              <w:pStyle w:val="Compact"/>
            </w:pPr>
            <w:r>
              <w:rPr>
                <w:rStyle w:val="VerbatimChar"/>
              </w:rPr>
              <w:t xml:space="preserve">line-height-normal</w:t>
            </w:r>
          </w:p>
        </w:tc>
        <w:tc>
          <w:tcPr/>
          <w:p>
            <w:pPr>
              <w:pStyle w:val="Compact"/>
            </w:pPr>
            <w:r>
              <w:rPr>
                <w:rStyle w:val="VerbatimChar"/>
              </w:rPr>
              <w:t xml:space="preserve">--line-height-normal</w:t>
            </w:r>
          </w:p>
        </w:tc>
        <w:tc>
          <w:tcPr/>
          <w:p>
            <w:pPr>
              <w:pStyle w:val="Compact"/>
            </w:pPr>
            <w:r>
              <w:rPr>
                <w:rStyle w:val="VerbatimChar"/>
              </w:rPr>
              <w:t xml:space="preserve">1.4</w:t>
            </w:r>
          </w:p>
        </w:tc>
        <w:tc>
          <w:tcPr/>
          <w:p>
            <w:pPr>
              <w:pStyle w:val="Compact"/>
            </w:pPr>
            <w:r>
              <w:t xml:space="preserve">Body text</w:t>
            </w:r>
          </w:p>
        </w:tc>
      </w:tr>
      <w:tr>
        <w:tc>
          <w:tcPr/>
          <w:p>
            <w:pPr>
              <w:pStyle w:val="Compact"/>
            </w:pPr>
            <w:r>
              <w:rPr>
                <w:rStyle w:val="VerbatimChar"/>
              </w:rPr>
              <w:t xml:space="preserve">font-weight-regular</w:t>
            </w:r>
          </w:p>
        </w:tc>
        <w:tc>
          <w:tcPr/>
          <w:p>
            <w:pPr>
              <w:pStyle w:val="Compact"/>
            </w:pPr>
            <w:r>
              <w:rPr>
                <w:rStyle w:val="VerbatimChar"/>
              </w:rPr>
              <w:t xml:space="preserve">--font-weight-regular</w:t>
            </w:r>
          </w:p>
        </w:tc>
        <w:tc>
          <w:tcPr/>
          <w:p>
            <w:pPr>
              <w:pStyle w:val="Compact"/>
            </w:pPr>
            <w:r>
              <w:rPr>
                <w:rStyle w:val="VerbatimChar"/>
              </w:rPr>
              <w:t xml:space="preserve">400</w:t>
            </w:r>
          </w:p>
        </w:tc>
        <w:tc>
          <w:tcPr/>
          <w:p>
            <w:pPr>
              <w:pStyle w:val="Compact"/>
            </w:pPr>
            <w:r>
              <w:t xml:space="preserve">Standard weight</w:t>
            </w:r>
          </w:p>
        </w:tc>
      </w:tr>
      <w:tr>
        <w:tc>
          <w:tcPr/>
          <w:p>
            <w:pPr>
              <w:pStyle w:val="Compact"/>
            </w:pPr>
            <w:r>
              <w:rPr>
                <w:rStyle w:val="VerbatimChar"/>
              </w:rPr>
              <w:t xml:space="preserve">font-weight-bold</w:t>
            </w:r>
          </w:p>
        </w:tc>
        <w:tc>
          <w:tcPr/>
          <w:p>
            <w:pPr>
              <w:pStyle w:val="Compact"/>
            </w:pPr>
            <w:r>
              <w:rPr>
                <w:rStyle w:val="VerbatimChar"/>
              </w:rPr>
              <w:t xml:space="preserve">--font-weight-bold</w:t>
            </w:r>
          </w:p>
        </w:tc>
        <w:tc>
          <w:tcPr/>
          <w:p>
            <w:pPr>
              <w:pStyle w:val="Compact"/>
            </w:pPr>
            <w:r>
              <w:rPr>
                <w:rStyle w:val="VerbatimChar"/>
              </w:rPr>
              <w:t xml:space="preserve">700</w:t>
            </w:r>
          </w:p>
        </w:tc>
        <w:tc>
          <w:tcPr/>
          <w:p>
            <w:pPr>
              <w:pStyle w:val="Compact"/>
            </w:pPr>
            <w:r>
              <w:t xml:space="preserve">Emphasis</w:t>
            </w:r>
          </w:p>
        </w:tc>
      </w:tr>
      <w:tr>
        <w:tc>
          <w:tcPr/>
          <w:p>
            <w:pPr>
              <w:pStyle w:val="Compact"/>
            </w:pPr>
            <w:r>
              <w:rPr>
                <w:rStyle w:val="VerbatimChar"/>
              </w:rPr>
              <w:t xml:space="preserve">letter-spacing-tight</w:t>
            </w:r>
          </w:p>
        </w:tc>
        <w:tc>
          <w:tcPr/>
          <w:p>
            <w:pPr>
              <w:pStyle w:val="Compact"/>
            </w:pPr>
            <w:r>
              <w:rPr>
                <w:rStyle w:val="VerbatimChar"/>
              </w:rPr>
              <w:t xml:space="preserve">--letter-spacing-tight</w:t>
            </w:r>
          </w:p>
        </w:tc>
        <w:tc>
          <w:tcPr/>
          <w:p>
            <w:pPr>
              <w:pStyle w:val="Compact"/>
            </w:pPr>
            <w:r>
              <w:rPr>
                <w:rStyle w:val="VerbatimChar"/>
              </w:rPr>
              <w:t xml:space="preserve">-0.02em</w:t>
            </w:r>
          </w:p>
        </w:tc>
        <w:tc>
          <w:tcPr/>
          <w:p>
            <w:pPr>
              <w:pStyle w:val="Compact"/>
            </w:pPr>
            <w:r>
              <w:t xml:space="preserve">Large headlines; reduces visual noise</w:t>
            </w:r>
          </w:p>
        </w:tc>
      </w:tr>
    </w:tbl>
    <w:bookmarkEnd w:id="64"/>
    <w:bookmarkStart w:id="65" w:name="spacing-tokens"/>
    <w:p>
      <w:pPr>
        <w:pStyle w:val="Heading4"/>
      </w:pPr>
      <w:r>
        <w:t xml:space="preserve">15.1.3 Spacing tokens</w:t>
      </w:r>
    </w:p>
    <w:p>
      <w:pPr>
        <w:pStyle w:val="FirstParagraph"/>
      </w:pPr>
      <w:r>
        <w:t xml:space="preserve">Define a scale using powers of 2 to ensure harmonious proportions.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 name</w:t>
            </w:r>
          </w:p>
        </w:tc>
        <w:tc>
          <w:tcPr/>
          <w:p>
            <w:pPr>
              <w:pStyle w:val="Compact"/>
            </w:pPr>
            <w:r>
              <w:t xml:space="preserve">CSS variable</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space-0</w:t>
            </w:r>
          </w:p>
        </w:tc>
        <w:tc>
          <w:tcPr/>
          <w:p>
            <w:pPr>
              <w:pStyle w:val="Compact"/>
            </w:pPr>
            <w:r>
              <w:rPr>
                <w:rStyle w:val="VerbatimChar"/>
              </w:rPr>
              <w:t xml:space="preserve">--space-0</w:t>
            </w:r>
          </w:p>
        </w:tc>
        <w:tc>
          <w:tcPr/>
          <w:p>
            <w:pPr>
              <w:pStyle w:val="Compact"/>
            </w:pPr>
            <w:r>
              <w:rPr>
                <w:rStyle w:val="VerbatimChar"/>
              </w:rPr>
              <w:t xml:space="preserve">0</w:t>
            </w:r>
          </w:p>
        </w:tc>
        <w:tc>
          <w:tcPr/>
          <w:p>
            <w:pPr>
              <w:pStyle w:val="Compact"/>
            </w:pPr>
            <w:r>
              <w:t xml:space="preserve">Reset</w:t>
            </w:r>
          </w:p>
        </w:tc>
      </w:tr>
      <w:tr>
        <w:tc>
          <w:tcPr/>
          <w:p>
            <w:pPr>
              <w:pStyle w:val="Compact"/>
            </w:pPr>
            <w:r>
              <w:rPr>
                <w:rStyle w:val="VerbatimChar"/>
              </w:rPr>
              <w:t xml:space="preserve">space-xs</w:t>
            </w:r>
          </w:p>
        </w:tc>
        <w:tc>
          <w:tcPr/>
          <w:p>
            <w:pPr>
              <w:pStyle w:val="Compact"/>
            </w:pPr>
            <w:r>
              <w:rPr>
                <w:rStyle w:val="VerbatimChar"/>
              </w:rPr>
              <w:t xml:space="preserve">--space-xs</w:t>
            </w:r>
          </w:p>
        </w:tc>
        <w:tc>
          <w:tcPr/>
          <w:p>
            <w:pPr>
              <w:pStyle w:val="Compact"/>
            </w:pPr>
            <w:r>
              <w:rPr>
                <w:rStyle w:val="VerbatimChar"/>
              </w:rPr>
              <w:t xml:space="preserve">0.25rem</w:t>
            </w:r>
          </w:p>
        </w:tc>
        <w:tc>
          <w:tcPr/>
          <w:p>
            <w:pPr>
              <w:pStyle w:val="Compact"/>
            </w:pPr>
            <w:r>
              <w:t xml:space="preserve">Tiny gaps (e.g., between label and input)</w:t>
            </w:r>
          </w:p>
        </w:tc>
      </w:tr>
      <w:tr>
        <w:tc>
          <w:tcPr/>
          <w:p>
            <w:pPr>
              <w:pStyle w:val="Compact"/>
            </w:pPr>
            <w:r>
              <w:rPr>
                <w:rStyle w:val="VerbatimChar"/>
              </w:rPr>
              <w:t xml:space="preserve">space-sm</w:t>
            </w:r>
          </w:p>
        </w:tc>
        <w:tc>
          <w:tcPr/>
          <w:p>
            <w:pPr>
              <w:pStyle w:val="Compact"/>
            </w:pPr>
            <w:r>
              <w:rPr>
                <w:rStyle w:val="VerbatimChar"/>
              </w:rPr>
              <w:t xml:space="preserve">--space-sm</w:t>
            </w:r>
          </w:p>
        </w:tc>
        <w:tc>
          <w:tcPr/>
          <w:p>
            <w:pPr>
              <w:pStyle w:val="Compact"/>
            </w:pPr>
            <w:r>
              <w:rPr>
                <w:rStyle w:val="VerbatimChar"/>
              </w:rPr>
              <w:t xml:space="preserve">0.5rem</w:t>
            </w:r>
          </w:p>
        </w:tc>
        <w:tc>
          <w:tcPr/>
          <w:p>
            <w:pPr>
              <w:pStyle w:val="Compact"/>
            </w:pPr>
            <w:r>
              <w:t xml:space="preserve">Small gaps</w:t>
            </w:r>
          </w:p>
        </w:tc>
      </w:tr>
      <w:tr>
        <w:tc>
          <w:tcPr/>
          <w:p>
            <w:pPr>
              <w:pStyle w:val="Compact"/>
            </w:pPr>
            <w:r>
              <w:rPr>
                <w:rStyle w:val="VerbatimChar"/>
              </w:rPr>
              <w:t xml:space="preserve">space-md</w:t>
            </w:r>
          </w:p>
        </w:tc>
        <w:tc>
          <w:tcPr/>
          <w:p>
            <w:pPr>
              <w:pStyle w:val="Compact"/>
            </w:pPr>
            <w:r>
              <w:rPr>
                <w:rStyle w:val="VerbatimChar"/>
              </w:rPr>
              <w:t xml:space="preserve">--space-md</w:t>
            </w:r>
          </w:p>
        </w:tc>
        <w:tc>
          <w:tcPr/>
          <w:p>
            <w:pPr>
              <w:pStyle w:val="Compact"/>
            </w:pPr>
            <w:r>
              <w:rPr>
                <w:rStyle w:val="VerbatimChar"/>
              </w:rPr>
              <w:t xml:space="preserve">1rem</w:t>
            </w:r>
          </w:p>
        </w:tc>
        <w:tc>
          <w:tcPr/>
          <w:p>
            <w:pPr>
              <w:pStyle w:val="Compact"/>
            </w:pPr>
            <w:r>
              <w:t xml:space="preserve">Standard gap (between elements)</w:t>
            </w:r>
          </w:p>
        </w:tc>
      </w:tr>
      <w:tr>
        <w:tc>
          <w:tcPr/>
          <w:p>
            <w:pPr>
              <w:pStyle w:val="Compact"/>
            </w:pPr>
            <w:r>
              <w:rPr>
                <w:rStyle w:val="VerbatimChar"/>
              </w:rPr>
              <w:t xml:space="preserve">space-lg</w:t>
            </w:r>
          </w:p>
        </w:tc>
        <w:tc>
          <w:tcPr/>
          <w:p>
            <w:pPr>
              <w:pStyle w:val="Compact"/>
            </w:pPr>
            <w:r>
              <w:rPr>
                <w:rStyle w:val="VerbatimChar"/>
              </w:rPr>
              <w:t xml:space="preserve">--space-lg</w:t>
            </w:r>
          </w:p>
        </w:tc>
        <w:tc>
          <w:tcPr/>
          <w:p>
            <w:pPr>
              <w:pStyle w:val="Compact"/>
            </w:pPr>
            <w:r>
              <w:rPr>
                <w:rStyle w:val="VerbatimChar"/>
              </w:rPr>
              <w:t xml:space="preserve">1.5rem</w:t>
            </w:r>
          </w:p>
        </w:tc>
        <w:tc>
          <w:tcPr/>
          <w:p>
            <w:pPr>
              <w:pStyle w:val="Compact"/>
            </w:pPr>
            <w:r>
              <w:t xml:space="preserve">Larger margins (e.g., card padding)</w:t>
            </w:r>
          </w:p>
        </w:tc>
      </w:tr>
      <w:tr>
        <w:tc>
          <w:tcPr/>
          <w:p>
            <w:pPr>
              <w:pStyle w:val="Compact"/>
            </w:pPr>
            <w:r>
              <w:rPr>
                <w:rStyle w:val="VerbatimChar"/>
              </w:rPr>
              <w:t xml:space="preserve">space-xl</w:t>
            </w:r>
          </w:p>
        </w:tc>
        <w:tc>
          <w:tcPr/>
          <w:p>
            <w:pPr>
              <w:pStyle w:val="Compact"/>
            </w:pPr>
            <w:r>
              <w:rPr>
                <w:rStyle w:val="VerbatimChar"/>
              </w:rPr>
              <w:t xml:space="preserve">--space-xl</w:t>
            </w:r>
          </w:p>
        </w:tc>
        <w:tc>
          <w:tcPr/>
          <w:p>
            <w:pPr>
              <w:pStyle w:val="Compact"/>
            </w:pPr>
            <w:r>
              <w:rPr>
                <w:rStyle w:val="VerbatimChar"/>
              </w:rPr>
              <w:t xml:space="preserve">2rem</w:t>
            </w:r>
          </w:p>
        </w:tc>
        <w:tc>
          <w:tcPr/>
          <w:p>
            <w:pPr>
              <w:pStyle w:val="Compact"/>
            </w:pPr>
            <w:r>
              <w:t xml:space="preserve">Section padding</w:t>
            </w:r>
          </w:p>
        </w:tc>
      </w:tr>
      <w:tr>
        <w:tc>
          <w:tcPr/>
          <w:p>
            <w:pPr>
              <w:pStyle w:val="Compact"/>
            </w:pPr>
            <w:r>
              <w:rPr>
                <w:rStyle w:val="VerbatimChar"/>
              </w:rPr>
              <w:t xml:space="preserve">space-2xl</w:t>
            </w:r>
          </w:p>
        </w:tc>
        <w:tc>
          <w:tcPr/>
          <w:p>
            <w:pPr>
              <w:pStyle w:val="Compact"/>
            </w:pPr>
            <w:r>
              <w:rPr>
                <w:rStyle w:val="VerbatimChar"/>
              </w:rPr>
              <w:t xml:space="preserve">--space-2xl</w:t>
            </w:r>
          </w:p>
        </w:tc>
        <w:tc>
          <w:tcPr/>
          <w:p>
            <w:pPr>
              <w:pStyle w:val="Compact"/>
            </w:pPr>
            <w:r>
              <w:rPr>
                <w:rStyle w:val="VerbatimChar"/>
              </w:rPr>
              <w:t xml:space="preserve">3rem</w:t>
            </w:r>
          </w:p>
        </w:tc>
        <w:tc>
          <w:tcPr/>
          <w:p>
            <w:pPr>
              <w:pStyle w:val="Compact"/>
            </w:pPr>
            <w:r>
              <w:t xml:space="preserve">Large vertical spaces</w:t>
            </w:r>
          </w:p>
        </w:tc>
      </w:tr>
      <w:tr>
        <w:tc>
          <w:tcPr/>
          <w:p>
            <w:pPr>
              <w:pStyle w:val="Compact"/>
            </w:pPr>
            <w:r>
              <w:rPr>
                <w:rStyle w:val="VerbatimChar"/>
              </w:rPr>
              <w:t xml:space="preserve">space-3xl</w:t>
            </w:r>
          </w:p>
        </w:tc>
        <w:tc>
          <w:tcPr/>
          <w:p>
            <w:pPr>
              <w:pStyle w:val="Compact"/>
            </w:pPr>
            <w:r>
              <w:rPr>
                <w:rStyle w:val="VerbatimChar"/>
              </w:rPr>
              <w:t xml:space="preserve">--space-3xl</w:t>
            </w:r>
          </w:p>
        </w:tc>
        <w:tc>
          <w:tcPr/>
          <w:p>
            <w:pPr>
              <w:pStyle w:val="Compact"/>
            </w:pPr>
            <w:r>
              <w:rPr>
                <w:rStyle w:val="VerbatimChar"/>
              </w:rPr>
              <w:t xml:space="preserve">4rem</w:t>
            </w:r>
          </w:p>
        </w:tc>
        <w:tc>
          <w:tcPr/>
          <w:p>
            <w:pPr>
              <w:pStyle w:val="Compact"/>
            </w:pPr>
            <w:r>
              <w:t xml:space="preserve">Extra large spaces</w:t>
            </w:r>
          </w:p>
        </w:tc>
      </w:tr>
    </w:tbl>
    <w:p>
      <w:pPr>
        <w:pStyle w:val="BodyText"/>
      </w:pPr>
      <w:r>
        <w:t xml:space="preserve">Always apply spacing tokens via CSS variables or Elementor variables. Do not use pixel values directly.</w:t>
      </w:r>
    </w:p>
    <w:bookmarkEnd w:id="65"/>
    <w:bookmarkStart w:id="66" w:name="radius-tokens"/>
    <w:p>
      <w:pPr>
        <w:pStyle w:val="Heading4"/>
      </w:pPr>
      <w:r>
        <w:t xml:space="preserve">15.1.4 Radius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 name</w:t>
            </w:r>
          </w:p>
        </w:tc>
        <w:tc>
          <w:tcPr/>
          <w:p>
            <w:pPr>
              <w:pStyle w:val="Compact"/>
            </w:pPr>
            <w:r>
              <w:t xml:space="preserve">CSS variable</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radius-none</w:t>
            </w:r>
          </w:p>
        </w:tc>
        <w:tc>
          <w:tcPr/>
          <w:p>
            <w:pPr>
              <w:pStyle w:val="Compact"/>
            </w:pPr>
            <w:r>
              <w:rPr>
                <w:rStyle w:val="VerbatimChar"/>
              </w:rPr>
              <w:t xml:space="preserve">--radius-none</w:t>
            </w:r>
          </w:p>
        </w:tc>
        <w:tc>
          <w:tcPr/>
          <w:p>
            <w:pPr>
              <w:pStyle w:val="Compact"/>
            </w:pPr>
            <w:r>
              <w:rPr>
                <w:rStyle w:val="VerbatimChar"/>
              </w:rPr>
              <w:t xml:space="preserve">0</w:t>
            </w:r>
          </w:p>
        </w:tc>
        <w:tc>
          <w:tcPr/>
          <w:p>
            <w:pPr>
              <w:pStyle w:val="Compact"/>
            </w:pPr>
            <w:r>
              <w:t xml:space="preserve">Sharply squared corners</w:t>
            </w:r>
          </w:p>
        </w:tc>
      </w:tr>
      <w:tr>
        <w:tc>
          <w:tcPr/>
          <w:p>
            <w:pPr>
              <w:pStyle w:val="Compact"/>
            </w:pPr>
            <w:r>
              <w:rPr>
                <w:rStyle w:val="VerbatimChar"/>
              </w:rPr>
              <w:t xml:space="preserve">radius-sm</w:t>
            </w:r>
          </w:p>
        </w:tc>
        <w:tc>
          <w:tcPr/>
          <w:p>
            <w:pPr>
              <w:pStyle w:val="Compact"/>
            </w:pPr>
            <w:r>
              <w:rPr>
                <w:rStyle w:val="VerbatimChar"/>
              </w:rPr>
              <w:t xml:space="preserve">--radius-sm</w:t>
            </w:r>
          </w:p>
        </w:tc>
        <w:tc>
          <w:tcPr/>
          <w:p>
            <w:pPr>
              <w:pStyle w:val="Compact"/>
            </w:pPr>
            <w:r>
              <w:rPr>
                <w:rStyle w:val="VerbatimChar"/>
              </w:rPr>
              <w:t xml:space="preserve">2px</w:t>
            </w:r>
          </w:p>
        </w:tc>
        <w:tc>
          <w:tcPr/>
          <w:p>
            <w:pPr>
              <w:pStyle w:val="Compact"/>
            </w:pPr>
            <w:r>
              <w:t xml:space="preserve">Small chips (badges, labels)</w:t>
            </w:r>
          </w:p>
        </w:tc>
      </w:tr>
      <w:tr>
        <w:tc>
          <w:tcPr/>
          <w:p>
            <w:pPr>
              <w:pStyle w:val="Compact"/>
            </w:pPr>
            <w:r>
              <w:rPr>
                <w:rStyle w:val="VerbatimChar"/>
              </w:rPr>
              <w:t xml:space="preserve">radius-md</w:t>
            </w:r>
          </w:p>
        </w:tc>
        <w:tc>
          <w:tcPr/>
          <w:p>
            <w:pPr>
              <w:pStyle w:val="Compact"/>
            </w:pPr>
            <w:r>
              <w:rPr>
                <w:rStyle w:val="VerbatimChar"/>
              </w:rPr>
              <w:t xml:space="preserve">--radius-md</w:t>
            </w:r>
          </w:p>
        </w:tc>
        <w:tc>
          <w:tcPr/>
          <w:p>
            <w:pPr>
              <w:pStyle w:val="Compact"/>
            </w:pPr>
            <w:r>
              <w:rPr>
                <w:rStyle w:val="VerbatimChar"/>
              </w:rPr>
              <w:t xml:space="preserve">4px</w:t>
            </w:r>
          </w:p>
        </w:tc>
        <w:tc>
          <w:tcPr/>
          <w:p>
            <w:pPr>
              <w:pStyle w:val="Compact"/>
            </w:pPr>
            <w:r>
              <w:t xml:space="preserve">Cards, buttons</w:t>
            </w:r>
          </w:p>
        </w:tc>
      </w:tr>
      <w:tr>
        <w:tc>
          <w:tcPr/>
          <w:p>
            <w:pPr>
              <w:pStyle w:val="Compact"/>
            </w:pPr>
            <w:r>
              <w:rPr>
                <w:rStyle w:val="VerbatimChar"/>
              </w:rPr>
              <w:t xml:space="preserve">radius-lg</w:t>
            </w:r>
          </w:p>
        </w:tc>
        <w:tc>
          <w:tcPr/>
          <w:p>
            <w:pPr>
              <w:pStyle w:val="Compact"/>
            </w:pPr>
            <w:r>
              <w:rPr>
                <w:rStyle w:val="VerbatimChar"/>
              </w:rPr>
              <w:t xml:space="preserve">--radius-lg</w:t>
            </w:r>
          </w:p>
        </w:tc>
        <w:tc>
          <w:tcPr/>
          <w:p>
            <w:pPr>
              <w:pStyle w:val="Compact"/>
            </w:pPr>
            <w:r>
              <w:rPr>
                <w:rStyle w:val="VerbatimChar"/>
              </w:rPr>
              <w:t xml:space="preserve">8px</w:t>
            </w:r>
          </w:p>
        </w:tc>
        <w:tc>
          <w:tcPr/>
          <w:p>
            <w:pPr>
              <w:pStyle w:val="Compact"/>
            </w:pPr>
            <w:r>
              <w:t xml:space="preserve">Modals, panels</w:t>
            </w:r>
          </w:p>
        </w:tc>
      </w:tr>
      <w:tr>
        <w:tc>
          <w:tcPr/>
          <w:p>
            <w:pPr>
              <w:pStyle w:val="Compact"/>
            </w:pPr>
            <w:r>
              <w:rPr>
                <w:rStyle w:val="VerbatimChar"/>
              </w:rPr>
              <w:t xml:space="preserve">radius-pill</w:t>
            </w:r>
          </w:p>
        </w:tc>
        <w:tc>
          <w:tcPr/>
          <w:p>
            <w:pPr>
              <w:pStyle w:val="Compact"/>
            </w:pPr>
            <w:r>
              <w:rPr>
                <w:rStyle w:val="VerbatimChar"/>
              </w:rPr>
              <w:t xml:space="preserve">--radius-pill</w:t>
            </w:r>
          </w:p>
        </w:tc>
        <w:tc>
          <w:tcPr/>
          <w:p>
            <w:pPr>
              <w:pStyle w:val="Compact"/>
            </w:pPr>
            <w:r>
              <w:rPr>
                <w:rStyle w:val="VerbatimChar"/>
              </w:rPr>
              <w:t xml:space="preserve">9999px</w:t>
            </w:r>
          </w:p>
        </w:tc>
        <w:tc>
          <w:tcPr/>
          <w:p>
            <w:pPr>
              <w:pStyle w:val="Compact"/>
            </w:pPr>
            <w:r>
              <w:t xml:space="preserve">Pills, tags</w:t>
            </w:r>
          </w:p>
        </w:tc>
      </w:tr>
    </w:tbl>
    <w:p>
      <w:pPr>
        <w:pStyle w:val="BodyText"/>
      </w:pPr>
      <w:r>
        <w:t xml:space="preserve">Use radii consistently; avoid mixing multiple radii in a single component.</w:t>
      </w:r>
    </w:p>
    <w:bookmarkEnd w:id="66"/>
    <w:bookmarkStart w:id="67" w:name="shadow-tokens"/>
    <w:p>
      <w:pPr>
        <w:pStyle w:val="Heading4"/>
      </w:pPr>
      <w:r>
        <w:t xml:space="preserve">15.1.5 Shadow tokens</w:t>
      </w:r>
    </w:p>
    <w:p>
      <w:pPr>
        <w:pStyle w:val="FirstParagraph"/>
      </w:pPr>
      <w:r>
        <w:t xml:space="preserve">Shadows convey elevation and separation. Use subtle shadows that support a dark UI without creating halos. Example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 name</w:t>
            </w:r>
          </w:p>
        </w:tc>
        <w:tc>
          <w:tcPr/>
          <w:p>
            <w:pPr>
              <w:pStyle w:val="Compact"/>
            </w:pPr>
            <w:r>
              <w:t xml:space="preserve">CSS variable</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shadow-none</w:t>
            </w:r>
          </w:p>
        </w:tc>
        <w:tc>
          <w:tcPr/>
          <w:p>
            <w:pPr>
              <w:pStyle w:val="Compact"/>
            </w:pPr>
            <w:r>
              <w:rPr>
                <w:rStyle w:val="VerbatimChar"/>
              </w:rPr>
              <w:t xml:space="preserve">--shadow-none</w:t>
            </w:r>
          </w:p>
        </w:tc>
        <w:tc>
          <w:tcPr/>
          <w:p>
            <w:pPr>
              <w:pStyle w:val="Compact"/>
            </w:pPr>
            <w:r>
              <w:rPr>
                <w:rStyle w:val="VerbatimChar"/>
              </w:rPr>
              <w:t xml:space="preserve">none</w:t>
            </w:r>
          </w:p>
        </w:tc>
        <w:tc>
          <w:tcPr/>
          <w:p>
            <w:pPr>
              <w:pStyle w:val="Compact"/>
            </w:pPr>
            <w:r>
              <w:t xml:space="preserve">Flat elements</w:t>
            </w:r>
          </w:p>
        </w:tc>
      </w:tr>
      <w:tr>
        <w:tc>
          <w:tcPr/>
          <w:p>
            <w:pPr>
              <w:pStyle w:val="Compact"/>
            </w:pPr>
            <w:r>
              <w:rPr>
                <w:rStyle w:val="VerbatimChar"/>
              </w:rPr>
              <w:t xml:space="preserve">shadow-sm</w:t>
            </w:r>
          </w:p>
        </w:tc>
        <w:tc>
          <w:tcPr/>
          <w:p>
            <w:pPr>
              <w:pStyle w:val="Compact"/>
            </w:pPr>
            <w:r>
              <w:rPr>
                <w:rStyle w:val="VerbatimChar"/>
              </w:rPr>
              <w:t xml:space="preserve">--shadow-sm</w:t>
            </w:r>
          </w:p>
        </w:tc>
        <w:tc>
          <w:tcPr/>
          <w:p>
            <w:pPr>
              <w:pStyle w:val="Compact"/>
            </w:pPr>
            <w:r>
              <w:rPr>
                <w:rStyle w:val="VerbatimChar"/>
              </w:rPr>
              <w:t xml:space="preserve">0 1px 2px rgba(0,0,0,0.4)</w:t>
            </w:r>
          </w:p>
        </w:tc>
        <w:tc>
          <w:tcPr/>
          <w:p>
            <w:pPr>
              <w:pStyle w:val="Compact"/>
            </w:pPr>
            <w:r>
              <w:t xml:space="preserve">Buttons, small cards</w:t>
            </w:r>
          </w:p>
        </w:tc>
      </w:tr>
      <w:tr>
        <w:tc>
          <w:tcPr/>
          <w:p>
            <w:pPr>
              <w:pStyle w:val="Compact"/>
            </w:pPr>
            <w:r>
              <w:rPr>
                <w:rStyle w:val="VerbatimChar"/>
              </w:rPr>
              <w:t xml:space="preserve">shadow-md</w:t>
            </w:r>
          </w:p>
        </w:tc>
        <w:tc>
          <w:tcPr/>
          <w:p>
            <w:pPr>
              <w:pStyle w:val="Compact"/>
            </w:pPr>
            <w:r>
              <w:rPr>
                <w:rStyle w:val="VerbatimChar"/>
              </w:rPr>
              <w:t xml:space="preserve">--shadow-md</w:t>
            </w:r>
          </w:p>
        </w:tc>
        <w:tc>
          <w:tcPr/>
          <w:p>
            <w:pPr>
              <w:pStyle w:val="Compact"/>
            </w:pPr>
            <w:r>
              <w:rPr>
                <w:rStyle w:val="VerbatimChar"/>
              </w:rPr>
              <w:t xml:space="preserve">0 2px 4px rgba(0,0,0,0.5)</w:t>
            </w:r>
          </w:p>
        </w:tc>
        <w:tc>
          <w:tcPr/>
          <w:p>
            <w:pPr>
              <w:pStyle w:val="Compact"/>
            </w:pPr>
            <w:r>
              <w:t xml:space="preserve">Cards, dropdowns</w:t>
            </w:r>
          </w:p>
        </w:tc>
      </w:tr>
      <w:tr>
        <w:tc>
          <w:tcPr/>
          <w:p>
            <w:pPr>
              <w:pStyle w:val="Compact"/>
            </w:pPr>
            <w:r>
              <w:rPr>
                <w:rStyle w:val="VerbatimChar"/>
              </w:rPr>
              <w:t xml:space="preserve">shadow-lg</w:t>
            </w:r>
          </w:p>
        </w:tc>
        <w:tc>
          <w:tcPr/>
          <w:p>
            <w:pPr>
              <w:pStyle w:val="Compact"/>
            </w:pPr>
            <w:r>
              <w:rPr>
                <w:rStyle w:val="VerbatimChar"/>
              </w:rPr>
              <w:t xml:space="preserve">--shadow-lg</w:t>
            </w:r>
          </w:p>
        </w:tc>
        <w:tc>
          <w:tcPr/>
          <w:p>
            <w:pPr>
              <w:pStyle w:val="Compact"/>
            </w:pPr>
            <w:r>
              <w:rPr>
                <w:rStyle w:val="VerbatimChar"/>
              </w:rPr>
              <w:t xml:space="preserve">0 4px 8px rgba(0,0,0,0.6)</w:t>
            </w:r>
          </w:p>
        </w:tc>
        <w:tc>
          <w:tcPr/>
          <w:p>
            <w:pPr>
              <w:pStyle w:val="Compact"/>
            </w:pPr>
            <w:r>
              <w:t xml:space="preserve">Modals, overlays</w:t>
            </w:r>
          </w:p>
        </w:tc>
      </w:tr>
      <w:tr>
        <w:tc>
          <w:tcPr/>
          <w:p>
            <w:pPr>
              <w:pStyle w:val="Compact"/>
            </w:pPr>
            <w:r>
              <w:rPr>
                <w:rStyle w:val="VerbatimChar"/>
              </w:rPr>
              <w:t xml:space="preserve">shadow-xlg</w:t>
            </w:r>
          </w:p>
        </w:tc>
        <w:tc>
          <w:tcPr/>
          <w:p>
            <w:pPr>
              <w:pStyle w:val="Compact"/>
            </w:pPr>
            <w:r>
              <w:rPr>
                <w:rStyle w:val="VerbatimChar"/>
              </w:rPr>
              <w:t xml:space="preserve">--shadow-xlg</w:t>
            </w:r>
          </w:p>
        </w:tc>
        <w:tc>
          <w:tcPr/>
          <w:p>
            <w:pPr>
              <w:pStyle w:val="Compact"/>
            </w:pPr>
            <w:r>
              <w:rPr>
                <w:rStyle w:val="VerbatimChar"/>
              </w:rPr>
              <w:t xml:space="preserve">0 8px 16px rgba(0,0,0,0.7)</w:t>
            </w:r>
          </w:p>
        </w:tc>
        <w:tc>
          <w:tcPr/>
          <w:p>
            <w:pPr>
              <w:pStyle w:val="Compact"/>
            </w:pPr>
            <w:r>
              <w:t xml:space="preserve">Panels, off‑canvas</w:t>
            </w:r>
          </w:p>
        </w:tc>
      </w:tr>
    </w:tbl>
    <w:bookmarkEnd w:id="67"/>
    <w:bookmarkStart w:id="68" w:name="elevation-tokens"/>
    <w:p>
      <w:pPr>
        <w:pStyle w:val="Heading4"/>
      </w:pPr>
      <w:r>
        <w:t xml:space="preserve">15.1.6 Elevation tokens</w:t>
      </w:r>
    </w:p>
    <w:p>
      <w:pPr>
        <w:pStyle w:val="FirstParagraph"/>
      </w:pPr>
      <w:r>
        <w:t xml:space="preserve">Elevation tokens indicate stacking order (z‑indices) and correspond with shadows. E.g.,</w:t>
      </w:r>
      <w:r>
        <w:t xml:space="preserve"> </w:t>
      </w:r>
      <w:r>
        <w:rPr>
          <w:rStyle w:val="VerbatimChar"/>
        </w:rPr>
        <w:t xml:space="preserve">elevation-base</w:t>
      </w:r>
      <w:r>
        <w:t xml:space="preserve"> </w:t>
      </w:r>
      <w:r>
        <w:t xml:space="preserve">(0),</w:t>
      </w:r>
      <w:r>
        <w:t xml:space="preserve"> </w:t>
      </w:r>
      <w:r>
        <w:rPr>
          <w:rStyle w:val="VerbatimChar"/>
        </w:rPr>
        <w:t xml:space="preserve">elevation-hover</w:t>
      </w:r>
      <w:r>
        <w:t xml:space="preserve"> </w:t>
      </w:r>
      <w:r>
        <w:t xml:space="preserve">(1),</w:t>
      </w:r>
      <w:r>
        <w:t xml:space="preserve"> </w:t>
      </w:r>
      <w:r>
        <w:rPr>
          <w:rStyle w:val="VerbatimChar"/>
        </w:rPr>
        <w:t xml:space="preserve">elevation-focus</w:t>
      </w:r>
      <w:r>
        <w:t xml:space="preserve"> </w:t>
      </w:r>
      <w:r>
        <w:t xml:space="preserve">(2),</w:t>
      </w:r>
      <w:r>
        <w:t xml:space="preserve"> </w:t>
      </w:r>
      <w:r>
        <w:rPr>
          <w:rStyle w:val="VerbatimChar"/>
        </w:rPr>
        <w:t xml:space="preserve">elevation-overlay</w:t>
      </w:r>
      <w:r>
        <w:t xml:space="preserve"> </w:t>
      </w:r>
      <w:r>
        <w:t xml:space="preserve">(4),</w:t>
      </w:r>
      <w:r>
        <w:t xml:space="preserve"> </w:t>
      </w:r>
      <w:r>
        <w:rPr>
          <w:rStyle w:val="VerbatimChar"/>
        </w:rPr>
        <w:t xml:space="preserve">elevation-modal</w:t>
      </w:r>
      <w:r>
        <w:t xml:space="preserve"> </w:t>
      </w:r>
      <w:r>
        <w:t xml:space="preserve">(8).</w:t>
      </w:r>
    </w:p>
    <w:bookmarkEnd w:id="68"/>
    <w:bookmarkStart w:id="69" w:name="breakpoints"/>
    <w:p>
      <w:pPr>
        <w:pStyle w:val="Heading4"/>
      </w:pPr>
      <w:r>
        <w:t xml:space="preserve">15.1.7 Breakpoints</w:t>
      </w:r>
    </w:p>
    <w:p>
      <w:pPr>
        <w:pStyle w:val="FirstParagraph"/>
      </w:pPr>
      <w:r>
        <w:t xml:space="preserve">Define responsive breakpoints based on device categories. 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Breakpoint name</w:t>
            </w:r>
          </w:p>
        </w:tc>
        <w:tc>
          <w:tcPr/>
          <w:p>
            <w:pPr>
              <w:pStyle w:val="Compact"/>
            </w:pPr>
            <w:r>
              <w:t xml:space="preserve">Width</w:t>
            </w:r>
          </w:p>
        </w:tc>
        <w:tc>
          <w:tcPr/>
          <w:p>
            <w:pPr>
              <w:pStyle w:val="Compact"/>
            </w:pPr>
            <w:r>
              <w:t xml:space="preserve">Usage</w:t>
            </w:r>
          </w:p>
        </w:tc>
      </w:tr>
      <w:tr>
        <w:tc>
          <w:tcPr/>
          <w:p>
            <w:pPr>
              <w:pStyle w:val="Compact"/>
            </w:pPr>
            <w:r>
              <w:rPr>
                <w:rStyle w:val="VerbatimChar"/>
              </w:rPr>
              <w:t xml:space="preserve">xs</w:t>
            </w:r>
          </w:p>
        </w:tc>
        <w:tc>
          <w:tcPr/>
          <w:p>
            <w:pPr>
              <w:pStyle w:val="Compact"/>
            </w:pPr>
            <w:r>
              <w:rPr>
                <w:rStyle w:val="VerbatimChar"/>
              </w:rPr>
              <w:t xml:space="preserve">&lt; 576px</w:t>
            </w:r>
          </w:p>
        </w:tc>
        <w:tc>
          <w:tcPr/>
          <w:p>
            <w:pPr>
              <w:pStyle w:val="Compact"/>
            </w:pPr>
            <w:r>
              <w:t xml:space="preserve">Small mobile devices</w:t>
            </w:r>
          </w:p>
        </w:tc>
      </w:tr>
      <w:tr>
        <w:tc>
          <w:tcPr/>
          <w:p>
            <w:pPr>
              <w:pStyle w:val="Compact"/>
            </w:pPr>
            <w:r>
              <w:rPr>
                <w:rStyle w:val="VerbatimChar"/>
              </w:rPr>
              <w:t xml:space="preserve">sm</w:t>
            </w:r>
          </w:p>
        </w:tc>
        <w:tc>
          <w:tcPr/>
          <w:p>
            <w:pPr>
              <w:pStyle w:val="Compact"/>
            </w:pPr>
            <w:r>
              <w:rPr>
                <w:rStyle w:val="VerbatimChar"/>
              </w:rPr>
              <w:t xml:space="preserve">576px–767px</w:t>
            </w:r>
          </w:p>
        </w:tc>
        <w:tc>
          <w:tcPr/>
          <w:p>
            <w:pPr>
              <w:pStyle w:val="Compact"/>
            </w:pPr>
            <w:r>
              <w:t xml:space="preserve">Mobile</w:t>
            </w:r>
          </w:p>
        </w:tc>
      </w:tr>
      <w:tr>
        <w:tc>
          <w:tcPr/>
          <w:p>
            <w:pPr>
              <w:pStyle w:val="Compact"/>
            </w:pPr>
            <w:r>
              <w:rPr>
                <w:rStyle w:val="VerbatimChar"/>
              </w:rPr>
              <w:t xml:space="preserve">md</w:t>
            </w:r>
          </w:p>
        </w:tc>
        <w:tc>
          <w:tcPr/>
          <w:p>
            <w:pPr>
              <w:pStyle w:val="Compact"/>
            </w:pPr>
            <w:r>
              <w:rPr>
                <w:rStyle w:val="VerbatimChar"/>
              </w:rPr>
              <w:t xml:space="preserve">768px–991px</w:t>
            </w:r>
          </w:p>
        </w:tc>
        <w:tc>
          <w:tcPr/>
          <w:p>
            <w:pPr>
              <w:pStyle w:val="Compact"/>
            </w:pPr>
            <w:r>
              <w:t xml:space="preserve">Tablets</w:t>
            </w:r>
          </w:p>
        </w:tc>
      </w:tr>
      <w:tr>
        <w:tc>
          <w:tcPr/>
          <w:p>
            <w:pPr>
              <w:pStyle w:val="Compact"/>
            </w:pPr>
            <w:r>
              <w:rPr>
                <w:rStyle w:val="VerbatimChar"/>
              </w:rPr>
              <w:t xml:space="preserve">lg</w:t>
            </w:r>
          </w:p>
        </w:tc>
        <w:tc>
          <w:tcPr/>
          <w:p>
            <w:pPr>
              <w:pStyle w:val="Compact"/>
            </w:pPr>
            <w:r>
              <w:rPr>
                <w:rStyle w:val="VerbatimChar"/>
              </w:rPr>
              <w:t xml:space="preserve">992px–1199px</w:t>
            </w:r>
          </w:p>
        </w:tc>
        <w:tc>
          <w:tcPr/>
          <w:p>
            <w:pPr>
              <w:pStyle w:val="Compact"/>
            </w:pPr>
            <w:r>
              <w:t xml:space="preserve">Small laptops</w:t>
            </w:r>
          </w:p>
        </w:tc>
      </w:tr>
      <w:tr>
        <w:tc>
          <w:tcPr/>
          <w:p>
            <w:pPr>
              <w:pStyle w:val="Compact"/>
            </w:pPr>
            <w:r>
              <w:rPr>
                <w:rStyle w:val="VerbatimChar"/>
              </w:rPr>
              <w:t xml:space="preserve">xl</w:t>
            </w:r>
          </w:p>
        </w:tc>
        <w:tc>
          <w:tcPr/>
          <w:p>
            <w:pPr>
              <w:pStyle w:val="Compact"/>
            </w:pPr>
            <w:r>
              <w:rPr>
                <w:rStyle w:val="VerbatimChar"/>
              </w:rPr>
              <w:t xml:space="preserve">1200px–1439px</w:t>
            </w:r>
          </w:p>
        </w:tc>
        <w:tc>
          <w:tcPr/>
          <w:p>
            <w:pPr>
              <w:pStyle w:val="Compact"/>
            </w:pPr>
            <w:r>
              <w:t xml:space="preserve">Desktops</w:t>
            </w:r>
          </w:p>
        </w:tc>
      </w:tr>
      <w:tr>
        <w:tc>
          <w:tcPr/>
          <w:p>
            <w:pPr>
              <w:pStyle w:val="Compact"/>
            </w:pPr>
            <w:r>
              <w:rPr>
                <w:rStyle w:val="VerbatimChar"/>
              </w:rPr>
              <w:t xml:space="preserve">xxl</w:t>
            </w:r>
          </w:p>
        </w:tc>
        <w:tc>
          <w:tcPr/>
          <w:p>
            <w:pPr>
              <w:pStyle w:val="Compact"/>
            </w:pPr>
            <w:r>
              <w:rPr>
                <w:rStyle w:val="VerbatimChar"/>
              </w:rPr>
              <w:t xml:space="preserve">&gt;= 1440px</w:t>
            </w:r>
          </w:p>
        </w:tc>
        <w:tc>
          <w:tcPr/>
          <w:p>
            <w:pPr>
              <w:pStyle w:val="Compact"/>
            </w:pPr>
            <w:r>
              <w:t xml:space="preserve">Large monitors</w:t>
            </w:r>
          </w:p>
        </w:tc>
      </w:tr>
    </w:tbl>
    <w:p>
      <w:pPr>
        <w:pStyle w:val="BodyText"/>
      </w:pPr>
      <w:r>
        <w:t xml:space="preserve">Use CSS</w:t>
      </w:r>
      <w:r>
        <w:t xml:space="preserve"> </w:t>
      </w:r>
      <w:r>
        <w:rPr>
          <w:rStyle w:val="VerbatimChar"/>
        </w:rPr>
        <w:t xml:space="preserve">clamp()</w:t>
      </w:r>
      <w:r>
        <w:t xml:space="preserve"> </w:t>
      </w:r>
      <w:r>
        <w:t xml:space="preserve">to scale font sizes and spacing fluidly across breakpoints.</w:t>
      </w:r>
    </w:p>
    <w:bookmarkEnd w:id="69"/>
    <w:bookmarkEnd w:id="70"/>
    <w:bookmarkStart w:id="77" w:name="foundations"/>
    <w:p>
      <w:pPr>
        <w:pStyle w:val="Heading3"/>
      </w:pPr>
      <w:r>
        <w:t xml:space="preserve">15.2 Foundations</w:t>
      </w:r>
    </w:p>
    <w:p>
      <w:pPr>
        <w:pStyle w:val="FirstParagraph"/>
      </w:pPr>
      <w:r>
        <w:t xml:space="preserve">Foundations are building blocks derived from tokens. They include colour palettes, typography scales, spacing systems, grids, elevation schemes and motion guidelines.</w:t>
      </w:r>
    </w:p>
    <w:bookmarkStart w:id="71" w:name="colour-palette-and-scales"/>
    <w:p>
      <w:pPr>
        <w:pStyle w:val="Heading4"/>
      </w:pPr>
      <w:r>
        <w:t xml:space="preserve">15.2.1 Colour palette and scales</w:t>
      </w:r>
    </w:p>
    <w:p>
      <w:pPr>
        <w:pStyle w:val="FirstParagraph"/>
      </w:pPr>
      <w:r>
        <w:t xml:space="preserve">We derive colour scales for each core colour (orange, lime, amber, rust, neutrals) across a range of 100–900. E.g.,</w:t>
      </w:r>
      <w:r>
        <w:t xml:space="preserve"> </w:t>
      </w:r>
      <w:r>
        <w:rPr>
          <w:rStyle w:val="VerbatimChar"/>
        </w:rPr>
        <w:t xml:space="preserve">color-brand-orange-50</w:t>
      </w:r>
      <w:r>
        <w:t xml:space="preserve"> </w:t>
      </w:r>
      <w:r>
        <w:t xml:space="preserve">to</w:t>
      </w:r>
      <w:r>
        <w:t xml:space="preserve"> </w:t>
      </w:r>
      <w:r>
        <w:rPr>
          <w:rStyle w:val="VerbatimChar"/>
        </w:rPr>
        <w:t xml:space="preserve">color-brand-orange-900</w:t>
      </w:r>
      <w:r>
        <w:t xml:space="preserve"> </w:t>
      </w:r>
      <w:r>
        <w:t xml:space="preserve">for tints and shades. A difference of 50 or more grades yields AA contrast</w:t>
      </w:r>
      <w:hyperlink r:id="rId30">
        <w:r>
          <w:rPr>
            <w:rStyle w:val="Hyperlink"/>
          </w:rPr>
          <w:t xml:space="preserve">[4]</w:t>
        </w:r>
      </w:hyperlink>
      <w:r>
        <w:t xml:space="preserve">. Document usage for each grade: backgrounds, borders, text, highlights, etc.</w:t>
      </w:r>
    </w:p>
    <w:bookmarkEnd w:id="71"/>
    <w:bookmarkStart w:id="72" w:name="typography-scale"/>
    <w:p>
      <w:pPr>
        <w:pStyle w:val="Heading4"/>
      </w:pPr>
      <w:r>
        <w:t xml:space="preserve">15.2.2 Typography scale</w:t>
      </w:r>
    </w:p>
    <w:p>
      <w:pPr>
        <w:pStyle w:val="FirstParagraph"/>
      </w:pPr>
      <w:r>
        <w:t xml:space="preserve">Define relative sizes, leading and tracking for headings, body and captions. Use modular scale (e.g., 1.125 ratio) to maintain visual harmony. Document pairs of size and line height for each level.</w:t>
      </w:r>
    </w:p>
    <w:bookmarkEnd w:id="72"/>
    <w:bookmarkStart w:id="73" w:name="spacing-system"/>
    <w:p>
      <w:pPr>
        <w:pStyle w:val="Heading4"/>
      </w:pPr>
      <w:r>
        <w:t xml:space="preserve">15.2.3 Spacing system</w:t>
      </w:r>
    </w:p>
    <w:p>
      <w:pPr>
        <w:pStyle w:val="FirstParagraph"/>
      </w:pPr>
      <w:r>
        <w:t xml:space="preserve">Use eight‑point grid or a derivative to align elements. Combine fixed spacing tokens with</w:t>
      </w:r>
      <w:r>
        <w:t xml:space="preserve"> </w:t>
      </w:r>
      <w:r>
        <w:rPr>
          <w:rStyle w:val="VerbatimChar"/>
        </w:rPr>
        <w:t xml:space="preserve">clamp()</w:t>
      </w:r>
      <w:r>
        <w:t xml:space="preserve"> </w:t>
      </w:r>
      <w:r>
        <w:t xml:space="preserve">for responsive adjustments. Document typical vertical spacing between headings and paragraphs, within cards and between sections.</w:t>
      </w:r>
    </w:p>
    <w:bookmarkEnd w:id="73"/>
    <w:bookmarkStart w:id="74" w:name="grid-system"/>
    <w:p>
      <w:pPr>
        <w:pStyle w:val="Heading4"/>
      </w:pPr>
      <w:r>
        <w:t xml:space="preserve">15.2.4 Grid system</w:t>
      </w:r>
    </w:p>
    <w:p>
      <w:pPr>
        <w:pStyle w:val="FirstParagraph"/>
      </w:pPr>
      <w:r>
        <w:t xml:space="preserve">Use a 12‑column grid for desktop, 8‑column for tablet and 4‑column for mobile. Define gutters (e.g., 24px, 16px, 8px) and margins. Document when and how to switch between grid layouts. Provide examples in Figma and Elementor.</w:t>
      </w:r>
    </w:p>
    <w:bookmarkEnd w:id="74"/>
    <w:bookmarkStart w:id="75" w:name="elevation-and-shadows"/>
    <w:p>
      <w:pPr>
        <w:pStyle w:val="Heading4"/>
      </w:pPr>
      <w:r>
        <w:t xml:space="preserve">15.2.5 Elevation and shadows</w:t>
      </w:r>
    </w:p>
    <w:p>
      <w:pPr>
        <w:pStyle w:val="FirstParagraph"/>
      </w:pPr>
      <w:r>
        <w:t xml:space="preserve">Define layering rules: surfaces with higher elevation cast deeper shadows; overlapped surfaces are separated by different z‑indices; overlays dim underlying content. Document typical usage (e.g., card at elevation 1, modal at elevation 4).</w:t>
      </w:r>
    </w:p>
    <w:bookmarkEnd w:id="75"/>
    <w:bookmarkStart w:id="76" w:name="motion"/>
    <w:p>
      <w:pPr>
        <w:pStyle w:val="Heading4"/>
      </w:pPr>
      <w:r>
        <w:t xml:space="preserve">15.2.6 Motion</w:t>
      </w:r>
    </w:p>
    <w:p>
      <w:pPr>
        <w:pStyle w:val="FirstParagraph"/>
      </w:pPr>
      <w:r>
        <w:t xml:space="preserve">Define timing functions (ease, ease‑in‑out, spring), durations (fast: 100 ms; normal: 200 ms; slow: 300 ms) and key animation patterns (fade, slide, scale). Document interactive micro‑animations (button press, card hover). Motion must reinforce the narrative and not distract.</w:t>
      </w:r>
    </w:p>
    <w:bookmarkEnd w:id="76"/>
    <w:bookmarkEnd w:id="77"/>
    <w:bookmarkStart w:id="86" w:name="components"/>
    <w:p>
      <w:pPr>
        <w:pStyle w:val="Heading3"/>
      </w:pPr>
      <w:r>
        <w:t xml:space="preserve">15.3 Components</w:t>
      </w:r>
    </w:p>
    <w:p>
      <w:pPr>
        <w:pStyle w:val="FirstParagraph"/>
      </w:pPr>
      <w:r>
        <w:t xml:space="preserve">Components are reusable UI pieces built on tokens and foundations. They range from simple buttons to complex case file headers. Each component must be documented with purpose, anatomy, variants, states and usage guidelines.</w:t>
      </w:r>
    </w:p>
    <w:bookmarkStart w:id="78" w:name="buttons"/>
    <w:p>
      <w:pPr>
        <w:pStyle w:val="Heading4"/>
      </w:pPr>
      <w:r>
        <w:t xml:space="preserve">15.3.1 Buttons</w:t>
      </w:r>
    </w:p>
    <w:p>
      <w:pPr>
        <w:pStyle w:val="Compact"/>
        <w:numPr>
          <w:ilvl w:val="0"/>
          <w:numId w:val="1023"/>
        </w:numPr>
      </w:pPr>
      <w:r>
        <w:rPr>
          <w:b/>
          <w:bCs/>
        </w:rPr>
        <w:t xml:space="preserve">Primary button:</w:t>
      </w:r>
      <w:r>
        <w:t xml:space="preserve"> </w:t>
      </w:r>
      <w:r>
        <w:t xml:space="preserve">Solid background with brand orange 500, white text, md radius. Use for main actions (e.g., “Read Investigation”).</w:t>
      </w:r>
    </w:p>
    <w:p>
      <w:pPr>
        <w:pStyle w:val="Compact"/>
        <w:numPr>
          <w:ilvl w:val="0"/>
          <w:numId w:val="1023"/>
        </w:numPr>
      </w:pPr>
      <w:r>
        <w:rPr>
          <w:b/>
          <w:bCs/>
        </w:rPr>
        <w:t xml:space="preserve">Secondary button:</w:t>
      </w:r>
      <w:r>
        <w:t xml:space="preserve"> </w:t>
      </w:r>
      <w:r>
        <w:t xml:space="preserve">Outline style with brand lime 500 border and text; transparent background. Use for secondary actions (e.g., “Download Report”).</w:t>
      </w:r>
    </w:p>
    <w:p>
      <w:pPr>
        <w:pStyle w:val="Compact"/>
        <w:numPr>
          <w:ilvl w:val="0"/>
          <w:numId w:val="1023"/>
        </w:numPr>
      </w:pPr>
      <w:r>
        <w:rPr>
          <w:b/>
          <w:bCs/>
        </w:rPr>
        <w:t xml:space="preserve">Tertiary button:</w:t>
      </w:r>
      <w:r>
        <w:t xml:space="preserve"> </w:t>
      </w:r>
      <w:r>
        <w:t xml:space="preserve">Text style with underline; no background or border. Use for minor actions (e.g., “Learn More”).</w:t>
      </w:r>
    </w:p>
    <w:p>
      <w:pPr>
        <w:pStyle w:val="Compact"/>
        <w:numPr>
          <w:ilvl w:val="0"/>
          <w:numId w:val="1023"/>
        </w:numPr>
      </w:pPr>
      <w:r>
        <w:rPr>
          <w:b/>
          <w:bCs/>
        </w:rPr>
        <w:t xml:space="preserve">Icon button:</w:t>
      </w:r>
      <w:r>
        <w:t xml:space="preserve"> </w:t>
      </w:r>
      <w:r>
        <w:t xml:space="preserve">Circular or square button containing an icon (e.g., search, share). Use for actions with universal icons. Provide alt text for accessibility.</w:t>
      </w:r>
    </w:p>
    <w:p>
      <w:pPr>
        <w:pStyle w:val="FirstParagraph"/>
      </w:pPr>
      <w:r>
        <w:t xml:space="preserve">All buttons support states: hover (slightly lighter or darker background), active (pressed effect), focus (outline ring) and disabled (reduced opacity). Tokenise state colours.</w:t>
      </w:r>
    </w:p>
    <w:bookmarkEnd w:id="78"/>
    <w:bookmarkStart w:id="79" w:name="cards"/>
    <w:p>
      <w:pPr>
        <w:pStyle w:val="Heading4"/>
      </w:pPr>
      <w:r>
        <w:t xml:space="preserve">15.3.2 Cards</w:t>
      </w:r>
    </w:p>
    <w:p>
      <w:pPr>
        <w:pStyle w:val="Compact"/>
        <w:numPr>
          <w:ilvl w:val="0"/>
          <w:numId w:val="1024"/>
        </w:numPr>
      </w:pPr>
      <w:r>
        <w:rPr>
          <w:b/>
          <w:bCs/>
        </w:rPr>
        <w:t xml:space="preserve">Investigation card:</w:t>
      </w:r>
      <w:r>
        <w:t xml:space="preserve"> </w:t>
      </w:r>
      <w:r>
        <w:t xml:space="preserve">Contains category badge, headline, summary, metadata (authors, date), image or illustration, and call to action. The card uses dark background (</w:t>
      </w:r>
      <w:r>
        <w:rPr>
          <w:rStyle w:val="VerbatimChar"/>
        </w:rPr>
        <w:t xml:space="preserve">color-neutral-900</w:t>
      </w:r>
      <w:r>
        <w:t xml:space="preserve">) with subtle border and elevation. The badge uses category colour (e.g., orange for AI crime). Hover state adds a deeper shadow and lifts the card slightly.</w:t>
      </w:r>
    </w:p>
    <w:p>
      <w:pPr>
        <w:pStyle w:val="Compact"/>
        <w:numPr>
          <w:ilvl w:val="0"/>
          <w:numId w:val="1024"/>
        </w:numPr>
      </w:pPr>
      <w:r>
        <w:rPr>
          <w:b/>
          <w:bCs/>
        </w:rPr>
        <w:t xml:space="preserve">Company card:</w:t>
      </w:r>
      <w:r>
        <w:t xml:space="preserve"> </w:t>
      </w:r>
      <w:r>
        <w:t xml:space="preserve">Contains company logo, name, risk score, key metrics (funding, employees), and tags (industry, AI products). Use lime or amber accents depending on risk level.</w:t>
      </w:r>
    </w:p>
    <w:p>
      <w:pPr>
        <w:pStyle w:val="Compact"/>
        <w:numPr>
          <w:ilvl w:val="0"/>
          <w:numId w:val="1024"/>
        </w:numPr>
      </w:pPr>
      <w:r>
        <w:rPr>
          <w:b/>
          <w:bCs/>
        </w:rPr>
        <w:t xml:space="preserve">Technology card:</w:t>
      </w:r>
      <w:r>
        <w:t xml:space="preserve"> </w:t>
      </w:r>
      <w:r>
        <w:t xml:space="preserve">Highlights AI technologies; includes icon, name, description, and related investigations. Use neutral backgrounds with accent highlights.</w:t>
      </w:r>
    </w:p>
    <w:p>
      <w:pPr>
        <w:pStyle w:val="Compact"/>
        <w:numPr>
          <w:ilvl w:val="0"/>
          <w:numId w:val="1024"/>
        </w:numPr>
      </w:pPr>
      <w:r>
        <w:rPr>
          <w:b/>
          <w:bCs/>
        </w:rPr>
        <w:t xml:space="preserve">Evidence card:</w:t>
      </w:r>
      <w:r>
        <w:t xml:space="preserve"> </w:t>
      </w:r>
      <w:r>
        <w:t xml:space="preserve">Shows piece of evidence (e.g., document excerpt, quote). Includes context, credibility score and link to source. Use coloured indicator for evidence strength (lime for verified, amber for contested).</w:t>
      </w:r>
    </w:p>
    <w:bookmarkEnd w:id="79"/>
    <w:bookmarkStart w:id="80" w:name="labels-and-badges"/>
    <w:p>
      <w:pPr>
        <w:pStyle w:val="Heading4"/>
      </w:pPr>
      <w:r>
        <w:t xml:space="preserve">15.3.3 Labels and badges</w:t>
      </w:r>
    </w:p>
    <w:p>
      <w:pPr>
        <w:pStyle w:val="Compact"/>
        <w:numPr>
          <w:ilvl w:val="0"/>
          <w:numId w:val="1025"/>
        </w:numPr>
      </w:pPr>
      <w:r>
        <w:rPr>
          <w:b/>
          <w:bCs/>
        </w:rPr>
        <w:t xml:space="preserve">Status badges:</w:t>
      </w:r>
      <w:r>
        <w:t xml:space="preserve"> </w:t>
      </w:r>
      <w:r>
        <w:t xml:space="preserve">Indicate story status (Breaking, Developing, Exclusive, Fact Check). Use filled style with white text and borderless pill shape. Colour corresponds to status: orange for Breaking, rust for Leaked, lime for Verified.</w:t>
      </w:r>
    </w:p>
    <w:p>
      <w:pPr>
        <w:pStyle w:val="Compact"/>
        <w:numPr>
          <w:ilvl w:val="0"/>
          <w:numId w:val="1025"/>
        </w:numPr>
      </w:pPr>
      <w:r>
        <w:rPr>
          <w:b/>
          <w:bCs/>
        </w:rPr>
        <w:t xml:space="preserve">Threat indicators:</w:t>
      </w:r>
      <w:r>
        <w:t xml:space="preserve"> </w:t>
      </w:r>
      <w:r>
        <w:t xml:space="preserve">Label threat levels (Critical, Elevated, Monitoring, Secure) with outlines and icons. Use amber or rust for high threats; lime for secure.</w:t>
      </w:r>
    </w:p>
    <w:bookmarkEnd w:id="80"/>
    <w:bookmarkStart w:id="81" w:name="navigation"/>
    <w:p>
      <w:pPr>
        <w:pStyle w:val="Heading4"/>
      </w:pPr>
      <w:r>
        <w:t xml:space="preserve">15.3.4 Navigation</w:t>
      </w:r>
    </w:p>
    <w:p>
      <w:pPr>
        <w:pStyle w:val="Compact"/>
        <w:numPr>
          <w:ilvl w:val="0"/>
          <w:numId w:val="1026"/>
        </w:numPr>
      </w:pPr>
      <w:r>
        <w:rPr>
          <w:b/>
          <w:bCs/>
        </w:rPr>
        <w:t xml:space="preserve">Primary navigation bar:</w:t>
      </w:r>
      <w:r>
        <w:t xml:space="preserve"> </w:t>
      </w:r>
      <w:r>
        <w:t xml:space="preserve">Includes logo, major sections (Investigations, Companies, Technologies, Reports, Newsroom) and search. On desktop, use horizontal layout; on mobile, collapse into a hamburger menu. Make nav sticky for long pages.</w:t>
      </w:r>
    </w:p>
    <w:p>
      <w:pPr>
        <w:pStyle w:val="Compact"/>
        <w:numPr>
          <w:ilvl w:val="0"/>
          <w:numId w:val="1026"/>
        </w:numPr>
      </w:pPr>
      <w:r>
        <w:rPr>
          <w:b/>
          <w:bCs/>
        </w:rPr>
        <w:t xml:space="preserve">Breadcrumbs:</w:t>
      </w:r>
      <w:r>
        <w:t xml:space="preserve"> </w:t>
      </w:r>
      <w:r>
        <w:t xml:space="preserve">Show hierarchical path to current page (e.g., Home &gt; Investigations &gt; AI Crime &gt; Article Title). Use small font and subtle separators.</w:t>
      </w:r>
    </w:p>
    <w:p>
      <w:pPr>
        <w:pStyle w:val="Compact"/>
        <w:numPr>
          <w:ilvl w:val="0"/>
          <w:numId w:val="1026"/>
        </w:numPr>
      </w:pPr>
      <w:r>
        <w:rPr>
          <w:b/>
          <w:bCs/>
        </w:rPr>
        <w:t xml:space="preserve">Side navigation:</w:t>
      </w:r>
      <w:r>
        <w:t xml:space="preserve"> </w:t>
      </w:r>
      <w:r>
        <w:t xml:space="preserve">For pages with multiple sections (e.g., long report). Use vertical list with anchor links that highlight the current section as the user scrolls.</w:t>
      </w:r>
    </w:p>
    <w:bookmarkEnd w:id="81"/>
    <w:bookmarkStart w:id="82" w:name="headers-and-hero-sections"/>
    <w:p>
      <w:pPr>
        <w:pStyle w:val="Heading4"/>
      </w:pPr>
      <w:r>
        <w:t xml:space="preserve">15.3.5 Headers and hero sections</w:t>
      </w:r>
    </w:p>
    <w:p>
      <w:pPr>
        <w:pStyle w:val="Compact"/>
        <w:numPr>
          <w:ilvl w:val="0"/>
          <w:numId w:val="1027"/>
        </w:numPr>
      </w:pPr>
      <w:r>
        <w:rPr>
          <w:b/>
          <w:bCs/>
        </w:rPr>
        <w:t xml:space="preserve">Hero:</w:t>
      </w:r>
      <w:r>
        <w:t xml:space="preserve"> </w:t>
      </w:r>
      <w:r>
        <w:t xml:space="preserve">Large area at the top of page featuring investigation headline, subheading, background image or pattern, badges (status, investigation number) and call to action. Use dynamic rotation of headlines to keep content fresh. Use animations (fade in, typewriter effect) to draw attention but ensure accessibility (reduce motion for users with motion sensitivity).</w:t>
      </w:r>
    </w:p>
    <w:p>
      <w:pPr>
        <w:pStyle w:val="Compact"/>
        <w:numPr>
          <w:ilvl w:val="0"/>
          <w:numId w:val="1027"/>
        </w:numPr>
      </w:pPr>
      <w:r>
        <w:rPr>
          <w:b/>
          <w:bCs/>
        </w:rPr>
        <w:t xml:space="preserve">Case file header:</w:t>
      </w:r>
      <w:r>
        <w:t xml:space="preserve"> </w:t>
      </w:r>
      <w:r>
        <w:t xml:space="preserve">For investigations: displays case number, classification level, title, summary, status, filed date, verified date and number of documents. Use colour coding for classification (e.g., purple for Confidential). Provide actions (Share, Download) and metadata.</w:t>
      </w:r>
    </w:p>
    <w:bookmarkEnd w:id="82"/>
    <w:bookmarkStart w:id="83" w:name="lists-and-tables"/>
    <w:p>
      <w:pPr>
        <w:pStyle w:val="Heading4"/>
      </w:pPr>
      <w:r>
        <w:t xml:space="preserve">15.3.6 Lists and tables</w:t>
      </w:r>
    </w:p>
    <w:p>
      <w:pPr>
        <w:pStyle w:val="Compact"/>
        <w:numPr>
          <w:ilvl w:val="0"/>
          <w:numId w:val="1028"/>
        </w:numPr>
      </w:pPr>
      <w:r>
        <w:rPr>
          <w:b/>
          <w:bCs/>
        </w:rPr>
        <w:t xml:space="preserve">Data tables:</w:t>
      </w:r>
      <w:r>
        <w:t xml:space="preserve"> </w:t>
      </w:r>
      <w:r>
        <w:t xml:space="preserve">Show metrics about companies, technologies, reports. Use alternating row colours for readability. Provide sorting and filtering. Ensure tables are responsive: on small screens, collapse into cards or scrollable containers.</w:t>
      </w:r>
    </w:p>
    <w:p>
      <w:pPr>
        <w:pStyle w:val="Compact"/>
        <w:numPr>
          <w:ilvl w:val="0"/>
          <w:numId w:val="1028"/>
        </w:numPr>
      </w:pPr>
      <w:r>
        <w:rPr>
          <w:b/>
          <w:bCs/>
        </w:rPr>
        <w:t xml:space="preserve">List groups:</w:t>
      </w:r>
      <w:r>
        <w:t xml:space="preserve"> </w:t>
      </w:r>
      <w:r>
        <w:t xml:space="preserve">Use for navigation lists, evidence lists or timelines. Provide clear separators and spacing. Support expansion for long items.</w:t>
      </w:r>
    </w:p>
    <w:bookmarkEnd w:id="83"/>
    <w:bookmarkStart w:id="84" w:name="interactive-components"/>
    <w:p>
      <w:pPr>
        <w:pStyle w:val="Heading4"/>
      </w:pPr>
      <w:r>
        <w:t xml:space="preserve">15.3.7 Interactive components</w:t>
      </w:r>
    </w:p>
    <w:p>
      <w:pPr>
        <w:pStyle w:val="Compact"/>
        <w:numPr>
          <w:ilvl w:val="0"/>
          <w:numId w:val="1029"/>
        </w:numPr>
      </w:pPr>
      <w:r>
        <w:rPr>
          <w:b/>
          <w:bCs/>
        </w:rPr>
        <w:t xml:space="preserve">Accordions:</w:t>
      </w:r>
      <w:r>
        <w:t xml:space="preserve"> </w:t>
      </w:r>
      <w:r>
        <w:t xml:space="preserve">Use for FAQs or layered content; accessible via keyboard; proper ARIA attributes. Only one section open at a time to reduce cognitive load.</w:t>
      </w:r>
    </w:p>
    <w:p>
      <w:pPr>
        <w:pStyle w:val="Compact"/>
        <w:numPr>
          <w:ilvl w:val="0"/>
          <w:numId w:val="1029"/>
        </w:numPr>
      </w:pPr>
      <w:r>
        <w:rPr>
          <w:b/>
          <w:bCs/>
        </w:rPr>
        <w:t xml:space="preserve">Tabs:</w:t>
      </w:r>
      <w:r>
        <w:t xml:space="preserve"> </w:t>
      </w:r>
      <w:r>
        <w:t xml:space="preserve">Use for switching between content categories (e.g., latest vs. popular). Provide focus states and keyboard navigation.</w:t>
      </w:r>
    </w:p>
    <w:p>
      <w:pPr>
        <w:pStyle w:val="Compact"/>
        <w:numPr>
          <w:ilvl w:val="0"/>
          <w:numId w:val="1029"/>
        </w:numPr>
      </w:pPr>
      <w:r>
        <w:rPr>
          <w:b/>
          <w:bCs/>
        </w:rPr>
        <w:t xml:space="preserve">Timeline:</w:t>
      </w:r>
      <w:r>
        <w:t xml:space="preserve"> </w:t>
      </w:r>
      <w:r>
        <w:t xml:space="preserve">Interactive horizontal or vertical element representing chronological events or story progression. Each point can expand into details or connect to an article. Use subtle animations when sliding.</w:t>
      </w:r>
    </w:p>
    <w:p>
      <w:pPr>
        <w:pStyle w:val="Compact"/>
        <w:numPr>
          <w:ilvl w:val="0"/>
          <w:numId w:val="1029"/>
        </w:numPr>
      </w:pPr>
      <w:r>
        <w:rPr>
          <w:b/>
          <w:bCs/>
        </w:rPr>
        <w:t xml:space="preserve">Modals:</w:t>
      </w:r>
      <w:r>
        <w:t xml:space="preserve"> </w:t>
      </w:r>
      <w:r>
        <w:t xml:space="preserve">For sign‑up forms, evidence viewers or large images. Use dark overlay to focus attention; ensure modals can be dismissed via escape key.</w:t>
      </w:r>
    </w:p>
    <w:bookmarkEnd w:id="84"/>
    <w:bookmarkStart w:id="85" w:name="forms-and-inputs"/>
    <w:p>
      <w:pPr>
        <w:pStyle w:val="Heading4"/>
      </w:pPr>
      <w:r>
        <w:t xml:space="preserve">15.3.8 Forms and inputs</w:t>
      </w:r>
    </w:p>
    <w:p>
      <w:pPr>
        <w:pStyle w:val="Compact"/>
        <w:numPr>
          <w:ilvl w:val="0"/>
          <w:numId w:val="1030"/>
        </w:numPr>
      </w:pPr>
      <w:r>
        <w:rPr>
          <w:b/>
          <w:bCs/>
        </w:rPr>
        <w:t xml:space="preserve">Text inputs:</w:t>
      </w:r>
      <w:r>
        <w:t xml:space="preserve"> </w:t>
      </w:r>
      <w:r>
        <w:t xml:space="preserve">Dark background, light border; placeholder text in medium grey. Provide clear labels and helper text. Validate input and display error messages with rust colour.</w:t>
      </w:r>
    </w:p>
    <w:p>
      <w:pPr>
        <w:pStyle w:val="Compact"/>
        <w:numPr>
          <w:ilvl w:val="0"/>
          <w:numId w:val="1030"/>
        </w:numPr>
      </w:pPr>
      <w:r>
        <w:rPr>
          <w:b/>
          <w:bCs/>
        </w:rPr>
        <w:t xml:space="preserve">Dropdowns and selects:</w:t>
      </w:r>
      <w:r>
        <w:t xml:space="preserve"> </w:t>
      </w:r>
      <w:r>
        <w:t xml:space="preserve">Use custom styled selects with large hit areas and icons. Provide search inside long lists. For categories or tags, support multi‑select and chips.</w:t>
      </w:r>
    </w:p>
    <w:p>
      <w:pPr>
        <w:pStyle w:val="Compact"/>
        <w:numPr>
          <w:ilvl w:val="0"/>
          <w:numId w:val="1030"/>
        </w:numPr>
      </w:pPr>
      <w:r>
        <w:rPr>
          <w:b/>
          <w:bCs/>
        </w:rPr>
        <w:t xml:space="preserve">Search bar:</w:t>
      </w:r>
      <w:r>
        <w:t xml:space="preserve"> </w:t>
      </w:r>
      <w:r>
        <w:t xml:space="preserve">Prominent component integrated into header; suggest results as user types; allow keyboard navigation; show top results with category labels.</w:t>
      </w:r>
    </w:p>
    <w:p>
      <w:pPr>
        <w:pStyle w:val="Compact"/>
        <w:numPr>
          <w:ilvl w:val="0"/>
          <w:numId w:val="1030"/>
        </w:numPr>
      </w:pPr>
      <w:r>
        <w:rPr>
          <w:b/>
          <w:bCs/>
        </w:rPr>
        <w:t xml:space="preserve">Filters:</w:t>
      </w:r>
      <w:r>
        <w:t xml:space="preserve"> </w:t>
      </w:r>
      <w:r>
        <w:t xml:space="preserve">For investigations or companies. Use checkboxes, radio buttons, sliders or pill filters. Combine with search to refine results.</w:t>
      </w:r>
    </w:p>
    <w:bookmarkEnd w:id="85"/>
    <w:bookmarkEnd w:id="86"/>
    <w:bookmarkStart w:id="87" w:name="patterns-and-templates"/>
    <w:p>
      <w:pPr>
        <w:pStyle w:val="Heading3"/>
      </w:pPr>
      <w:r>
        <w:t xml:space="preserve">15.4 Patterns and templates</w:t>
      </w:r>
    </w:p>
    <w:p>
      <w:pPr>
        <w:pStyle w:val="FirstParagraph"/>
      </w:pPr>
      <w:r>
        <w:t xml:space="preserve">Patterns are combinations of components used to solve common UI problems. Templates are page‑level structures built from patterns and components. Document patterns such as article layouts, grid lists, dashboards, search results, footers and forms. Templates include:</w:t>
      </w:r>
    </w:p>
    <w:p>
      <w:pPr>
        <w:pStyle w:val="Compact"/>
        <w:numPr>
          <w:ilvl w:val="0"/>
          <w:numId w:val="1031"/>
        </w:numPr>
      </w:pPr>
      <w:r>
        <w:rPr>
          <w:b/>
          <w:bCs/>
        </w:rPr>
        <w:t xml:space="preserve">Homepage:</w:t>
      </w:r>
      <w:r>
        <w:t xml:space="preserve"> </w:t>
      </w:r>
      <w:r>
        <w:t xml:space="preserve">Hero with rotating headlines; breaking news ticker; featured investigation; latest investigations grid; companies being tracked; research report highlights; categories; newsletter signup.</w:t>
      </w:r>
    </w:p>
    <w:p>
      <w:pPr>
        <w:pStyle w:val="Compact"/>
        <w:numPr>
          <w:ilvl w:val="0"/>
          <w:numId w:val="1031"/>
        </w:numPr>
      </w:pPr>
      <w:r>
        <w:rPr>
          <w:b/>
          <w:bCs/>
        </w:rPr>
        <w:t xml:space="preserve">Investigation page:</w:t>
      </w:r>
      <w:r>
        <w:t xml:space="preserve"> </w:t>
      </w:r>
      <w:r>
        <w:t xml:space="preserve">Case file header; narrative sections broken by evidence boxes, quotes, diagrams and timelines; related companies and technologies; comments section; call to action to subscribe.</w:t>
      </w:r>
    </w:p>
    <w:p>
      <w:pPr>
        <w:pStyle w:val="Compact"/>
        <w:numPr>
          <w:ilvl w:val="0"/>
          <w:numId w:val="1031"/>
        </w:numPr>
      </w:pPr>
      <w:r>
        <w:rPr>
          <w:b/>
          <w:bCs/>
        </w:rPr>
        <w:t xml:space="preserve">Company page:</w:t>
      </w:r>
      <w:r>
        <w:t xml:space="preserve"> </w:t>
      </w:r>
      <w:r>
        <w:t xml:space="preserve">Company overview; funding history; AI products; controversies; risk score; related investigations; timeline; downloadable reports.</w:t>
      </w:r>
    </w:p>
    <w:p>
      <w:pPr>
        <w:pStyle w:val="Compact"/>
        <w:numPr>
          <w:ilvl w:val="0"/>
          <w:numId w:val="1031"/>
        </w:numPr>
      </w:pPr>
      <w:r>
        <w:rPr>
          <w:b/>
          <w:bCs/>
        </w:rPr>
        <w:t xml:space="preserve">Technology page:</w:t>
      </w:r>
      <w:r>
        <w:t xml:space="preserve"> </w:t>
      </w:r>
      <w:r>
        <w:t xml:space="preserve">Technology description; applications; research papers; controversies; adoption timeline; related companies and investigations.</w:t>
      </w:r>
    </w:p>
    <w:p>
      <w:pPr>
        <w:pStyle w:val="Compact"/>
        <w:numPr>
          <w:ilvl w:val="0"/>
          <w:numId w:val="1031"/>
        </w:numPr>
      </w:pPr>
      <w:r>
        <w:rPr>
          <w:b/>
          <w:bCs/>
        </w:rPr>
        <w:t xml:space="preserve">Search results:</w:t>
      </w:r>
      <w:r>
        <w:t xml:space="preserve"> </w:t>
      </w:r>
      <w:r>
        <w:t xml:space="preserve">Display investigations, companies, people and documents in separate sections; provide filters; highlight search terms in excerpts.</w:t>
      </w:r>
    </w:p>
    <w:bookmarkEnd w:id="87"/>
    <w:bookmarkStart w:id="88" w:name="documentation"/>
    <w:p>
      <w:pPr>
        <w:pStyle w:val="Heading3"/>
      </w:pPr>
      <w:r>
        <w:t xml:space="preserve">15.5 Documentation</w:t>
      </w:r>
    </w:p>
    <w:p>
      <w:pPr>
        <w:pStyle w:val="FirstParagraph"/>
      </w:pPr>
      <w:r>
        <w:t xml:space="preserve">Each component, pattern and template must be documented in the design system site or Figma library. Documentation should include:</w:t>
      </w:r>
    </w:p>
    <w:p>
      <w:pPr>
        <w:pStyle w:val="Compact"/>
        <w:numPr>
          <w:ilvl w:val="0"/>
          <w:numId w:val="1032"/>
        </w:numPr>
      </w:pPr>
      <w:r>
        <w:t xml:space="preserve">Purpose and use cases.</w:t>
      </w:r>
    </w:p>
    <w:p>
      <w:pPr>
        <w:pStyle w:val="Compact"/>
        <w:numPr>
          <w:ilvl w:val="0"/>
          <w:numId w:val="1032"/>
        </w:numPr>
      </w:pPr>
      <w:r>
        <w:t xml:space="preserve">Anatomy and parts.</w:t>
      </w:r>
    </w:p>
    <w:p>
      <w:pPr>
        <w:pStyle w:val="Compact"/>
        <w:numPr>
          <w:ilvl w:val="0"/>
          <w:numId w:val="1032"/>
        </w:numPr>
      </w:pPr>
      <w:r>
        <w:t xml:space="preserve">Supported variants.</w:t>
      </w:r>
    </w:p>
    <w:p>
      <w:pPr>
        <w:pStyle w:val="Compact"/>
        <w:numPr>
          <w:ilvl w:val="0"/>
          <w:numId w:val="1032"/>
        </w:numPr>
      </w:pPr>
      <w:r>
        <w:t xml:space="preserve">Props or parameters (size, colour, state).</w:t>
      </w:r>
    </w:p>
    <w:p>
      <w:pPr>
        <w:pStyle w:val="Compact"/>
        <w:numPr>
          <w:ilvl w:val="0"/>
          <w:numId w:val="1032"/>
        </w:numPr>
      </w:pPr>
      <w:r>
        <w:t xml:space="preserve">Interaction behaviour (hover, focus, disabled).</w:t>
      </w:r>
    </w:p>
    <w:p>
      <w:pPr>
        <w:pStyle w:val="Compact"/>
        <w:numPr>
          <w:ilvl w:val="0"/>
          <w:numId w:val="1032"/>
        </w:numPr>
      </w:pPr>
      <w:r>
        <w:t xml:space="preserve">Implementation notes (HTML structure, CSS classes, Elementor widget mapping).</w:t>
      </w:r>
    </w:p>
    <w:p>
      <w:pPr>
        <w:pStyle w:val="Compact"/>
        <w:numPr>
          <w:ilvl w:val="0"/>
          <w:numId w:val="1032"/>
        </w:numPr>
      </w:pPr>
      <w:r>
        <w:t xml:space="preserve">Accessibility notes (ARIA roles, keyboard behaviour). Use sources like the USWDS to inform accessible colour pairings</w:t>
      </w:r>
      <w:hyperlink r:id="rId21">
        <w:r>
          <w:rPr>
            <w:rStyle w:val="Hyperlink"/>
          </w:rPr>
          <w:t xml:space="preserve">[1]</w:t>
        </w:r>
      </w:hyperlink>
      <w:r>
        <w:t xml:space="preserve">.</w:t>
      </w:r>
    </w:p>
    <w:bookmarkEnd w:id="88"/>
    <w:bookmarkEnd w:id="89"/>
    <w:bookmarkStart w:id="99" w:name="section-16-wordpress"/>
    <w:p>
      <w:pPr>
        <w:pStyle w:val="Heading2"/>
      </w:pPr>
      <w:r>
        <w:t xml:space="preserve">Section 16 – WordPress</w:t>
      </w:r>
    </w:p>
    <w:p>
      <w:pPr>
        <w:pStyle w:val="FirstParagraph"/>
      </w:pPr>
      <w:r>
        <w:t xml:space="preserve">WordPress serves as the content management backbone of NextGenSense. The architecture must support modularity, performance, security and scalability.</w:t>
      </w:r>
    </w:p>
    <w:bookmarkStart w:id="90" w:name="installation-and-core-settings"/>
    <w:p>
      <w:pPr>
        <w:pStyle w:val="Heading3"/>
      </w:pPr>
      <w:r>
        <w:t xml:space="preserve">16.1 Installation and core settings</w:t>
      </w:r>
    </w:p>
    <w:p>
      <w:pPr>
        <w:pStyle w:val="Compact"/>
        <w:numPr>
          <w:ilvl w:val="0"/>
          <w:numId w:val="1033"/>
        </w:numPr>
      </w:pPr>
      <w:r>
        <w:rPr>
          <w:b/>
          <w:bCs/>
        </w:rPr>
        <w:t xml:space="preserve">Use the latest LTS version</w:t>
      </w:r>
      <w:r>
        <w:t xml:space="preserve"> </w:t>
      </w:r>
      <w:r>
        <w:t xml:space="preserve">of WordPress. Keep core, themes and plugins updated.</w:t>
      </w:r>
    </w:p>
    <w:p>
      <w:pPr>
        <w:pStyle w:val="Compact"/>
        <w:numPr>
          <w:ilvl w:val="0"/>
          <w:numId w:val="1033"/>
        </w:numPr>
      </w:pPr>
      <w:r>
        <w:rPr>
          <w:b/>
          <w:bCs/>
        </w:rPr>
        <w:t xml:space="preserve">Disable unused features</w:t>
      </w:r>
      <w:r>
        <w:t xml:space="preserve">: comments, pingbacks, XML‑RPC, file editing via dashboard.</w:t>
      </w:r>
    </w:p>
    <w:p>
      <w:pPr>
        <w:pStyle w:val="Compact"/>
        <w:numPr>
          <w:ilvl w:val="0"/>
          <w:numId w:val="1033"/>
        </w:numPr>
      </w:pPr>
      <w:r>
        <w:rPr>
          <w:b/>
          <w:bCs/>
        </w:rPr>
        <w:t xml:space="preserve">Set permalinks</w:t>
      </w:r>
      <w:r>
        <w:t xml:space="preserve"> </w:t>
      </w:r>
      <w:r>
        <w:t xml:space="preserve">to a structure that includes categories and post names (e.g.,</w:t>
      </w:r>
      <w:r>
        <w:t xml:space="preserve"> </w:t>
      </w:r>
      <w:r>
        <w:rPr>
          <w:rStyle w:val="VerbatimChar"/>
        </w:rPr>
        <w:t xml:space="preserve">/investigations/%postname%/</w:t>
      </w:r>
      <w:r>
        <w:t xml:space="preserve">).</w:t>
      </w:r>
    </w:p>
    <w:p>
      <w:pPr>
        <w:pStyle w:val="Compact"/>
        <w:numPr>
          <w:ilvl w:val="0"/>
          <w:numId w:val="1033"/>
        </w:numPr>
      </w:pPr>
      <w:r>
        <w:rPr>
          <w:b/>
          <w:bCs/>
        </w:rPr>
        <w:t xml:space="preserve">Enforce SSL</w:t>
      </w:r>
      <w:r>
        <w:t xml:space="preserve"> </w:t>
      </w:r>
      <w:r>
        <w:t xml:space="preserve">across the site. Use HSTS headers. Configure CDN (e.g., Cloudflare) for caching and security.</w:t>
      </w:r>
    </w:p>
    <w:p>
      <w:pPr>
        <w:numPr>
          <w:ilvl w:val="0"/>
          <w:numId w:val="1033"/>
        </w:numPr>
      </w:pPr>
      <w:r>
        <w:rPr>
          <w:b/>
          <w:bCs/>
        </w:rPr>
        <w:t xml:space="preserve">Install required plugins:</w:t>
      </w:r>
    </w:p>
    <w:p>
      <w:pPr>
        <w:numPr>
          <w:ilvl w:val="0"/>
          <w:numId w:val="1033"/>
        </w:numPr>
      </w:pPr>
      <w:r>
        <w:t xml:space="preserve">Elementor Pro for page building.</w:t>
      </w:r>
    </w:p>
    <w:p>
      <w:pPr>
        <w:pStyle w:val="Compact"/>
        <w:numPr>
          <w:ilvl w:val="0"/>
          <w:numId w:val="1033"/>
        </w:numPr>
      </w:pPr>
      <w:r>
        <w:t xml:space="preserve">Advanced Custom Fields (ACF) Pro for custom fields.</w:t>
      </w:r>
    </w:p>
    <w:p>
      <w:pPr>
        <w:pStyle w:val="Compact"/>
        <w:numPr>
          <w:ilvl w:val="0"/>
          <w:numId w:val="1033"/>
        </w:numPr>
      </w:pPr>
      <w:r>
        <w:t xml:space="preserve">Custom Post Type UI (CPTUI) for CPT management.</w:t>
      </w:r>
    </w:p>
    <w:p>
      <w:pPr>
        <w:pStyle w:val="Compact"/>
        <w:numPr>
          <w:ilvl w:val="0"/>
          <w:numId w:val="1033"/>
        </w:numPr>
      </w:pPr>
      <w:r>
        <w:t xml:space="preserve">RankMath or Yoast SEO for search optimisation.</w:t>
      </w:r>
    </w:p>
    <w:p>
      <w:pPr>
        <w:pStyle w:val="Compact"/>
        <w:numPr>
          <w:ilvl w:val="0"/>
          <w:numId w:val="1033"/>
        </w:numPr>
      </w:pPr>
      <w:r>
        <w:t xml:space="preserve">Cache plugin (WP Rocket, LiteSpeed) for performance.</w:t>
      </w:r>
    </w:p>
    <w:p>
      <w:pPr>
        <w:pStyle w:val="Compact"/>
        <w:numPr>
          <w:ilvl w:val="0"/>
          <w:numId w:val="1033"/>
        </w:numPr>
      </w:pPr>
      <w:r>
        <w:t xml:space="preserve">Security plugin (Wordfence, iThemes) for protection.</w:t>
      </w:r>
    </w:p>
    <w:p>
      <w:pPr>
        <w:pStyle w:val="Compact"/>
        <w:numPr>
          <w:ilvl w:val="0"/>
          <w:numId w:val="1033"/>
        </w:numPr>
      </w:pPr>
      <w:r>
        <w:t xml:space="preserve">Uncanny Automator, WP Webhooks or Make integration for automation.</w:t>
      </w:r>
    </w:p>
    <w:p>
      <w:pPr>
        <w:pStyle w:val="Compact"/>
        <w:numPr>
          <w:ilvl w:val="0"/>
          <w:numId w:val="1033"/>
        </w:numPr>
      </w:pPr>
      <w:r>
        <w:t xml:space="preserve">Image optimisation plugin (ShortPixel, Imagify).</w:t>
      </w:r>
    </w:p>
    <w:bookmarkEnd w:id="90"/>
    <w:bookmarkStart w:id="91" w:name="theme-and-child-theme"/>
    <w:p>
      <w:pPr>
        <w:pStyle w:val="Heading3"/>
      </w:pPr>
      <w:r>
        <w:t xml:space="preserve">16.2 Theme and child theme</w:t>
      </w:r>
    </w:p>
    <w:p>
      <w:pPr>
        <w:pStyle w:val="FirstParagraph"/>
      </w:pPr>
      <w:r>
        <w:t xml:space="preserve">Use the Hello Elementor theme as the base for maximum performance and flexibility. Create a child theme to override styles, templates and functions. Keep custom code out of the parent theme to avoid losing changes on updates.</w:t>
      </w:r>
    </w:p>
    <w:bookmarkEnd w:id="91"/>
    <w:bookmarkStart w:id="92" w:name="custom-post-types-cpt"/>
    <w:p>
      <w:pPr>
        <w:pStyle w:val="Heading3"/>
      </w:pPr>
      <w:r>
        <w:t xml:space="preserve">16.3 Custom Post Types (CPT)</w:t>
      </w:r>
    </w:p>
    <w:p>
      <w:pPr>
        <w:pStyle w:val="FirstParagraph"/>
      </w:pPr>
      <w:r>
        <w:t xml:space="preserve">Define CPTs for Investigations, Companies, Technologies, People, Documents, Reports, Videos, Podcasts and Timelines. Use CPTUI or custom code to register them. Set properties:</w:t>
      </w:r>
    </w:p>
    <w:p>
      <w:pPr>
        <w:pStyle w:val="Compact"/>
        <w:numPr>
          <w:ilvl w:val="0"/>
          <w:numId w:val="1034"/>
        </w:numPr>
      </w:pPr>
      <w:r>
        <w:t xml:space="preserve">Supports: title, editor, excerpt, thumbnail, revisions, custom fields.</w:t>
      </w:r>
    </w:p>
    <w:p>
      <w:pPr>
        <w:pStyle w:val="Compact"/>
        <w:numPr>
          <w:ilvl w:val="0"/>
          <w:numId w:val="1034"/>
        </w:numPr>
      </w:pPr>
      <w:r>
        <w:t xml:space="preserve">Rewrite slug: e.g.,</w:t>
      </w:r>
      <w:r>
        <w:t xml:space="preserve"> </w:t>
      </w:r>
      <w:r>
        <w:rPr>
          <w:rStyle w:val="VerbatimChar"/>
        </w:rPr>
        <w:t xml:space="preserve">investigation</w:t>
      </w:r>
      <w:r>
        <w:t xml:space="preserve"> </w:t>
      </w:r>
      <w:r>
        <w:t xml:space="preserve">(plural</w:t>
      </w:r>
      <w:r>
        <w:t xml:space="preserve"> </w:t>
      </w:r>
      <w:r>
        <w:rPr>
          <w:rStyle w:val="VerbatimChar"/>
        </w:rPr>
        <w:t xml:space="preserve">investigations</w:t>
      </w:r>
      <w:r>
        <w:t xml:space="preserve">).</w:t>
      </w:r>
    </w:p>
    <w:p>
      <w:pPr>
        <w:pStyle w:val="Compact"/>
        <w:numPr>
          <w:ilvl w:val="0"/>
          <w:numId w:val="1034"/>
        </w:numPr>
      </w:pPr>
      <w:r>
        <w:t xml:space="preserve">Hierarchical: false (except for documents if grouping is necessary).</w:t>
      </w:r>
    </w:p>
    <w:p>
      <w:pPr>
        <w:pStyle w:val="Compact"/>
        <w:numPr>
          <w:ilvl w:val="0"/>
          <w:numId w:val="1034"/>
        </w:numPr>
      </w:pPr>
      <w:r>
        <w:t xml:space="preserve">Has archive: true.</w:t>
      </w:r>
    </w:p>
    <w:p>
      <w:pPr>
        <w:pStyle w:val="Compact"/>
        <w:numPr>
          <w:ilvl w:val="0"/>
          <w:numId w:val="1034"/>
        </w:numPr>
      </w:pPr>
      <w:r>
        <w:t xml:space="preserve">Menu position: group similar CPTs together.</w:t>
      </w:r>
    </w:p>
    <w:p>
      <w:pPr>
        <w:pStyle w:val="Compact"/>
        <w:numPr>
          <w:ilvl w:val="0"/>
          <w:numId w:val="1034"/>
        </w:numPr>
      </w:pPr>
      <w:r>
        <w:t xml:space="preserve">Menu icon: assign unique dashicons or custom icons from token library.</w:t>
      </w:r>
    </w:p>
    <w:bookmarkEnd w:id="92"/>
    <w:bookmarkStart w:id="93" w:name="taxonomies"/>
    <w:p>
      <w:pPr>
        <w:pStyle w:val="Heading3"/>
      </w:pPr>
      <w:r>
        <w:t xml:space="preserve">16.4 Taxonomies</w:t>
      </w:r>
    </w:p>
    <w:p>
      <w:pPr>
        <w:pStyle w:val="FirstParagraph"/>
      </w:pPr>
      <w:r>
        <w:t xml:space="preserve">Create taxonomies (categories, tags) for each CPT where relevant:</w:t>
      </w:r>
    </w:p>
    <w:p>
      <w:pPr>
        <w:pStyle w:val="Compact"/>
        <w:numPr>
          <w:ilvl w:val="0"/>
          <w:numId w:val="1035"/>
        </w:numPr>
      </w:pPr>
      <w:r>
        <w:t xml:space="preserve">Investigations: categories (AI Crime, Surveillance, Leaks, Research), statuses (Breaking, Developing, Exclusive, Fact Check), risk levels (Critical, High, Medium, Low), topics (Bias, Regulation, Ethics), geographies (Country, Region).</w:t>
      </w:r>
    </w:p>
    <w:p>
      <w:pPr>
        <w:pStyle w:val="Compact"/>
        <w:numPr>
          <w:ilvl w:val="0"/>
          <w:numId w:val="1035"/>
        </w:numPr>
      </w:pPr>
      <w:r>
        <w:t xml:space="preserve">Companies: industry (e.g., Healthcare, Finance), size (Startup, Enterprise), controversies (yes/no), risk scores (range categories).</w:t>
      </w:r>
    </w:p>
    <w:p>
      <w:pPr>
        <w:pStyle w:val="Compact"/>
        <w:numPr>
          <w:ilvl w:val="0"/>
          <w:numId w:val="1035"/>
        </w:numPr>
      </w:pPr>
      <w:r>
        <w:t xml:space="preserve">Technologies: type (Algorithm, Model, Framework), maturity (Emerging, Established), domain (NLP, Computer Vision, Robotics).</w:t>
      </w:r>
    </w:p>
    <w:p>
      <w:pPr>
        <w:pStyle w:val="Compact"/>
        <w:numPr>
          <w:ilvl w:val="0"/>
          <w:numId w:val="1035"/>
        </w:numPr>
      </w:pPr>
      <w:r>
        <w:t xml:space="preserve">People: roles (CEO, Scientist, Whistleblower), affiliation (Company, University), region.</w:t>
      </w:r>
    </w:p>
    <w:p>
      <w:pPr>
        <w:pStyle w:val="FirstParagraph"/>
      </w:pPr>
      <w:r>
        <w:t xml:space="preserve">Taxonomies must support hierarchical relationships where needed (e.g., geographies: continent &gt; country &gt; state). Provide custom fields (e.g., description, colour) for taxonomies using ACF.</w:t>
      </w:r>
    </w:p>
    <w:bookmarkEnd w:id="93"/>
    <w:bookmarkStart w:id="94" w:name="acf-field-groups"/>
    <w:p>
      <w:pPr>
        <w:pStyle w:val="Heading3"/>
      </w:pPr>
      <w:r>
        <w:t xml:space="preserve">16.5 ACF field groups</w:t>
      </w:r>
    </w:p>
    <w:p>
      <w:pPr>
        <w:pStyle w:val="FirstParagraph"/>
      </w:pPr>
      <w:r>
        <w:t xml:space="preserve">Define field groups for each CPT to capture metadata. Examples:</w:t>
      </w:r>
    </w:p>
    <w:p>
      <w:pPr>
        <w:pStyle w:val="Compact"/>
        <w:numPr>
          <w:ilvl w:val="0"/>
          <w:numId w:val="1036"/>
        </w:numPr>
      </w:pPr>
      <w:r>
        <w:rPr>
          <w:b/>
          <w:bCs/>
        </w:rPr>
        <w:t xml:space="preserve">Investigation:</w:t>
      </w:r>
      <w:r>
        <w:t xml:space="preserve"> </w:t>
      </w:r>
      <w:r>
        <w:t xml:space="preserve">Case number, classification level, status, filed date, verified date, authors (relationship to people), companies involved (relationship to companies), technologies involved (relationship to technologies), documents (relationship to documents), timeline (repeater field), evidence (repeater), summary, risk level, featured quote, featured image.</w:t>
      </w:r>
    </w:p>
    <w:p>
      <w:pPr>
        <w:pStyle w:val="Compact"/>
        <w:numPr>
          <w:ilvl w:val="0"/>
          <w:numId w:val="1036"/>
        </w:numPr>
      </w:pPr>
      <w:r>
        <w:rPr>
          <w:b/>
          <w:bCs/>
        </w:rPr>
        <w:t xml:space="preserve">Company:</w:t>
      </w:r>
      <w:r>
        <w:t xml:space="preserve"> </w:t>
      </w:r>
      <w:r>
        <w:t xml:space="preserve">Founded date, founders (relationship to people), headquarters, funding rounds (repeater), employees count, revenue, AI products, controversies (wysiwyg), risk score, stock ticker, logo.</w:t>
      </w:r>
    </w:p>
    <w:p>
      <w:pPr>
        <w:pStyle w:val="Compact"/>
        <w:numPr>
          <w:ilvl w:val="0"/>
          <w:numId w:val="1036"/>
        </w:numPr>
      </w:pPr>
      <w:r>
        <w:rPr>
          <w:b/>
          <w:bCs/>
        </w:rPr>
        <w:t xml:space="preserve">Technology:</w:t>
      </w:r>
      <w:r>
        <w:t xml:space="preserve"> </w:t>
      </w:r>
      <w:r>
        <w:t xml:space="preserve">Category, description, application, maturity, research papers (repeater), controversies, adoption timeline (repeater), companies using technology.</w:t>
      </w:r>
    </w:p>
    <w:p>
      <w:pPr>
        <w:pStyle w:val="Compact"/>
        <w:numPr>
          <w:ilvl w:val="0"/>
          <w:numId w:val="1036"/>
        </w:numPr>
      </w:pPr>
      <w:r>
        <w:rPr>
          <w:b/>
          <w:bCs/>
        </w:rPr>
        <w:t xml:space="preserve">Person:</w:t>
      </w:r>
      <w:r>
        <w:t xml:space="preserve"> </w:t>
      </w:r>
      <w:r>
        <w:t xml:space="preserve">Biography, role, affiliation, notable works, awards, controversies, risk level.</w:t>
      </w:r>
    </w:p>
    <w:p>
      <w:pPr>
        <w:pStyle w:val="Compact"/>
        <w:numPr>
          <w:ilvl w:val="0"/>
          <w:numId w:val="1036"/>
        </w:numPr>
      </w:pPr>
      <w:r>
        <w:rPr>
          <w:b/>
          <w:bCs/>
        </w:rPr>
        <w:t xml:space="preserve">Document:</w:t>
      </w:r>
      <w:r>
        <w:t xml:space="preserve"> </w:t>
      </w:r>
      <w:r>
        <w:t xml:space="preserve">Document type (report, legal filing, FOIA), source, date, summary, link, file upload, classification level, credibility score, related investigations.</w:t>
      </w:r>
    </w:p>
    <w:p>
      <w:pPr>
        <w:pStyle w:val="FirstParagraph"/>
      </w:pPr>
      <w:r>
        <w:t xml:space="preserve">Each field group must include:</w:t>
      </w:r>
    </w:p>
    <w:p>
      <w:pPr>
        <w:pStyle w:val="Compact"/>
        <w:numPr>
          <w:ilvl w:val="0"/>
          <w:numId w:val="1037"/>
        </w:numPr>
      </w:pPr>
      <w:r>
        <w:t xml:space="preserve">Field label and name.</w:t>
      </w:r>
    </w:p>
    <w:p>
      <w:pPr>
        <w:pStyle w:val="Compact"/>
        <w:numPr>
          <w:ilvl w:val="0"/>
          <w:numId w:val="1037"/>
        </w:numPr>
      </w:pPr>
      <w:r>
        <w:t xml:space="preserve">Field type (text, textarea, relationship, repeater, flexible content, select, radio, file, image, number, date, taxonomy).</w:t>
      </w:r>
    </w:p>
    <w:p>
      <w:pPr>
        <w:pStyle w:val="Compact"/>
        <w:numPr>
          <w:ilvl w:val="0"/>
          <w:numId w:val="1037"/>
        </w:numPr>
      </w:pPr>
      <w:r>
        <w:t xml:space="preserve">Default value (where appropriate).</w:t>
      </w:r>
    </w:p>
    <w:p>
      <w:pPr>
        <w:pStyle w:val="Compact"/>
        <w:numPr>
          <w:ilvl w:val="0"/>
          <w:numId w:val="1037"/>
        </w:numPr>
      </w:pPr>
      <w:r>
        <w:t xml:space="preserve">Validation (required, pattern, min/max length).</w:t>
      </w:r>
    </w:p>
    <w:p>
      <w:pPr>
        <w:pStyle w:val="Compact"/>
        <w:numPr>
          <w:ilvl w:val="0"/>
          <w:numId w:val="1037"/>
        </w:numPr>
      </w:pPr>
      <w:r>
        <w:t xml:space="preserve">Display conditions (e.g., show classification field only if CPT is Investigation).</w:t>
      </w:r>
    </w:p>
    <w:p>
      <w:pPr>
        <w:pStyle w:val="Compact"/>
        <w:numPr>
          <w:ilvl w:val="0"/>
          <w:numId w:val="1037"/>
        </w:numPr>
      </w:pPr>
      <w:r>
        <w:t xml:space="preserve">Instructions for editors.</w:t>
      </w:r>
    </w:p>
    <w:p>
      <w:pPr>
        <w:pStyle w:val="Compact"/>
        <w:numPr>
          <w:ilvl w:val="0"/>
          <w:numId w:val="1037"/>
        </w:numPr>
      </w:pPr>
      <w:r>
        <w:t xml:space="preserve">Field order.</w:t>
      </w:r>
    </w:p>
    <w:p>
      <w:pPr>
        <w:pStyle w:val="FirstParagraph"/>
      </w:pPr>
      <w:r>
        <w:t xml:space="preserve">Export ACF field groups to JSON for version control (</w:t>
      </w:r>
      <w:r>
        <w:rPr>
          <w:rStyle w:val="VerbatimChar"/>
        </w:rPr>
        <w:t xml:space="preserve">acf-json</w:t>
      </w:r>
      <w:r>
        <w:t xml:space="preserve"> </w:t>
      </w:r>
      <w:r>
        <w:t xml:space="preserve">directory) and include them in the repository. Write scripts to sync fields between environments.</w:t>
      </w:r>
    </w:p>
    <w:bookmarkEnd w:id="94"/>
    <w:bookmarkStart w:id="95" w:name="template-hierarchy"/>
    <w:p>
      <w:pPr>
        <w:pStyle w:val="Heading3"/>
      </w:pPr>
      <w:r>
        <w:t xml:space="preserve">16.6 Template hierarchy</w:t>
      </w:r>
    </w:p>
    <w:p>
      <w:pPr>
        <w:pStyle w:val="FirstParagraph"/>
      </w:pPr>
      <w:r>
        <w:t xml:space="preserve">Use Elementor Theme Builder to create templates:</w:t>
      </w:r>
    </w:p>
    <w:p>
      <w:pPr>
        <w:pStyle w:val="Compact"/>
        <w:numPr>
          <w:ilvl w:val="0"/>
          <w:numId w:val="1038"/>
        </w:numPr>
      </w:pPr>
      <w:r>
        <w:rPr>
          <w:b/>
          <w:bCs/>
        </w:rPr>
        <w:t xml:space="preserve">Archive templates</w:t>
      </w:r>
      <w:r>
        <w:t xml:space="preserve"> </w:t>
      </w:r>
      <w:r>
        <w:t xml:space="preserve">for each CPT.</w:t>
      </w:r>
    </w:p>
    <w:p>
      <w:pPr>
        <w:pStyle w:val="Compact"/>
        <w:numPr>
          <w:ilvl w:val="0"/>
          <w:numId w:val="1038"/>
        </w:numPr>
      </w:pPr>
      <w:r>
        <w:rPr>
          <w:b/>
          <w:bCs/>
        </w:rPr>
        <w:t xml:space="preserve">Single templates</w:t>
      </w:r>
      <w:r>
        <w:t xml:space="preserve"> </w:t>
      </w:r>
      <w:r>
        <w:t xml:space="preserve">for each CPT.</w:t>
      </w:r>
    </w:p>
    <w:p>
      <w:pPr>
        <w:pStyle w:val="Compact"/>
        <w:numPr>
          <w:ilvl w:val="0"/>
          <w:numId w:val="1038"/>
        </w:numPr>
      </w:pPr>
      <w:r>
        <w:rPr>
          <w:b/>
          <w:bCs/>
        </w:rPr>
        <w:t xml:space="preserve">Search results template</w:t>
      </w:r>
      <w:r>
        <w:t xml:space="preserve"> </w:t>
      </w:r>
      <w:r>
        <w:t xml:space="preserve">with filtering and sorting.</w:t>
      </w:r>
    </w:p>
    <w:p>
      <w:pPr>
        <w:pStyle w:val="Compact"/>
        <w:numPr>
          <w:ilvl w:val="0"/>
          <w:numId w:val="1038"/>
        </w:numPr>
      </w:pPr>
      <w:r>
        <w:rPr>
          <w:b/>
          <w:bCs/>
        </w:rPr>
        <w:t xml:space="preserve">404 template</w:t>
      </w:r>
      <w:r>
        <w:t xml:space="preserve"> </w:t>
      </w:r>
      <w:r>
        <w:t xml:space="preserve">with search bar and links to popular investigations.</w:t>
      </w:r>
    </w:p>
    <w:p>
      <w:pPr>
        <w:pStyle w:val="Compact"/>
        <w:numPr>
          <w:ilvl w:val="0"/>
          <w:numId w:val="1038"/>
        </w:numPr>
      </w:pPr>
      <w:r>
        <w:rPr>
          <w:b/>
          <w:bCs/>
        </w:rPr>
        <w:t xml:space="preserve">Header and footer templates</w:t>
      </w:r>
      <w:r>
        <w:t xml:space="preserve"> </w:t>
      </w:r>
      <w:r>
        <w:t xml:space="preserve">(global across site).</w:t>
      </w:r>
    </w:p>
    <w:p>
      <w:pPr>
        <w:pStyle w:val="Compact"/>
        <w:numPr>
          <w:ilvl w:val="0"/>
          <w:numId w:val="1038"/>
        </w:numPr>
      </w:pPr>
      <w:r>
        <w:rPr>
          <w:b/>
          <w:bCs/>
        </w:rPr>
        <w:t xml:space="preserve">Global sections</w:t>
      </w:r>
      <w:r>
        <w:t xml:space="preserve"> </w:t>
      </w:r>
      <w:r>
        <w:t xml:space="preserve">such as newsletter sign‑up, breaking news bar, featured investigation slider.</w:t>
      </w:r>
    </w:p>
    <w:p>
      <w:pPr>
        <w:pStyle w:val="FirstParagraph"/>
      </w:pPr>
      <w:r>
        <w:t xml:space="preserve">Templates should reference dynamic fields via ACF and Elementor’s dynamic tags. Avoid inline styles; use tokens for styling.</w:t>
      </w:r>
    </w:p>
    <w:bookmarkEnd w:id="95"/>
    <w:bookmarkStart w:id="96" w:name="gutenberg-and-shortcodes"/>
    <w:p>
      <w:pPr>
        <w:pStyle w:val="Heading3"/>
      </w:pPr>
      <w:r>
        <w:t xml:space="preserve">16.7 Gutenberg and shortcodes</w:t>
      </w:r>
    </w:p>
    <w:p>
      <w:pPr>
        <w:pStyle w:val="FirstParagraph"/>
      </w:pPr>
      <w:r>
        <w:t xml:space="preserve">Disable Gutenberg if not used; rely on Elementor. If using Gutenberg blocks for simple content (e.g., blog posts), create custom blocks styled via tokens. Provide shortcodes or widgets for inserting investigations lists or company cards into posts.</w:t>
      </w:r>
    </w:p>
    <w:bookmarkEnd w:id="96"/>
    <w:bookmarkStart w:id="97" w:name="performance-and-security"/>
    <w:p>
      <w:pPr>
        <w:pStyle w:val="Heading3"/>
      </w:pPr>
      <w:r>
        <w:t xml:space="preserve">16.8 Performance and security</w:t>
      </w:r>
    </w:p>
    <w:p>
      <w:pPr>
        <w:pStyle w:val="Compact"/>
        <w:numPr>
          <w:ilvl w:val="0"/>
          <w:numId w:val="1039"/>
        </w:numPr>
      </w:pPr>
      <w:r>
        <w:t xml:space="preserve">Use caching (server, object, page) and CDN for assets.</w:t>
      </w:r>
    </w:p>
    <w:p>
      <w:pPr>
        <w:pStyle w:val="Compact"/>
        <w:numPr>
          <w:ilvl w:val="0"/>
          <w:numId w:val="1039"/>
        </w:numPr>
      </w:pPr>
      <w:r>
        <w:t xml:space="preserve">Optimise images (serve WebP, responsive sizes).</w:t>
      </w:r>
    </w:p>
    <w:p>
      <w:pPr>
        <w:pStyle w:val="Compact"/>
        <w:numPr>
          <w:ilvl w:val="0"/>
          <w:numId w:val="1039"/>
        </w:numPr>
      </w:pPr>
      <w:r>
        <w:t xml:space="preserve">Minify CSS and JavaScript. Use critical CSS where possible.</w:t>
      </w:r>
    </w:p>
    <w:p>
      <w:pPr>
        <w:pStyle w:val="Compact"/>
        <w:numPr>
          <w:ilvl w:val="0"/>
          <w:numId w:val="1039"/>
        </w:numPr>
      </w:pPr>
      <w:r>
        <w:t xml:space="preserve">Implement security measures (firewall, login protection, limited login attempts, two‑factor authentication for admins).</w:t>
      </w:r>
    </w:p>
    <w:p>
      <w:pPr>
        <w:pStyle w:val="Compact"/>
        <w:numPr>
          <w:ilvl w:val="0"/>
          <w:numId w:val="1039"/>
        </w:numPr>
      </w:pPr>
      <w:r>
        <w:t xml:space="preserve">Schedule backups (daily database, weekly files) and store off‑site.</w:t>
      </w:r>
    </w:p>
    <w:bookmarkEnd w:id="97"/>
    <w:bookmarkStart w:id="98" w:name="multilingual-support"/>
    <w:p>
      <w:pPr>
        <w:pStyle w:val="Heading3"/>
      </w:pPr>
      <w:r>
        <w:t xml:space="preserve">16.9 Multilingual support</w:t>
      </w:r>
    </w:p>
    <w:p>
      <w:pPr>
        <w:pStyle w:val="FirstParagraph"/>
      </w:pPr>
      <w:r>
        <w:t xml:space="preserve">Plan for translations using plugins like WPML or Polylang. Use separate CPTs for translations or translation tables. Store translation strings in JSON for automation.</w:t>
      </w:r>
    </w:p>
    <w:bookmarkEnd w:id="98"/>
    <w:bookmarkEnd w:id="99"/>
    <w:bookmarkStart w:id="105" w:name="section-17-elementor"/>
    <w:p>
      <w:pPr>
        <w:pStyle w:val="Heading2"/>
      </w:pPr>
      <w:r>
        <w:t xml:space="preserve">Section 17 – Elementor</w:t>
      </w:r>
    </w:p>
    <w:p>
      <w:pPr>
        <w:pStyle w:val="FirstParagraph"/>
      </w:pPr>
      <w:r>
        <w:t xml:space="preserve">Elementor is our page builder. To leverage its power at scale, follow these guidelines.</w:t>
      </w:r>
    </w:p>
    <w:bookmarkStart w:id="100" w:name="global-settings"/>
    <w:p>
      <w:pPr>
        <w:pStyle w:val="Heading3"/>
      </w:pPr>
      <w:r>
        <w:t xml:space="preserve">17.1 Global settings</w:t>
      </w:r>
    </w:p>
    <w:p>
      <w:pPr>
        <w:pStyle w:val="Compact"/>
        <w:numPr>
          <w:ilvl w:val="0"/>
          <w:numId w:val="1040"/>
        </w:numPr>
      </w:pPr>
      <w:r>
        <w:t xml:space="preserve">Disable Elementor default colours and fonts; import NGDS tokens as global colours and typography.</w:t>
      </w:r>
    </w:p>
    <w:p>
      <w:pPr>
        <w:pStyle w:val="Compact"/>
        <w:numPr>
          <w:ilvl w:val="0"/>
          <w:numId w:val="1040"/>
        </w:numPr>
      </w:pPr>
      <w:r>
        <w:t xml:space="preserve">Enable flexbox containers, nested containers and improved CSS loading in Elementor Experiments.</w:t>
      </w:r>
    </w:p>
    <w:p>
      <w:pPr>
        <w:pStyle w:val="Compact"/>
        <w:numPr>
          <w:ilvl w:val="0"/>
          <w:numId w:val="1040"/>
        </w:numPr>
      </w:pPr>
      <w:r>
        <w:t xml:space="preserve">Set custom breakpoints to match our design system (</w:t>
      </w:r>
      <w:r>
        <w:rPr>
          <w:rStyle w:val="VerbatimChar"/>
        </w:rPr>
        <w:t xml:space="preserve">xs</w:t>
      </w:r>
      <w:r>
        <w:t xml:space="preserve">,</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r>
        <w:t xml:space="preserve"> </w:t>
      </w:r>
      <w:r>
        <w:rPr>
          <w:rStyle w:val="VerbatimChar"/>
        </w:rPr>
        <w:t xml:space="preserve">xl</w:t>
      </w:r>
      <w:r>
        <w:t xml:space="preserve">,</w:t>
      </w:r>
      <w:r>
        <w:t xml:space="preserve"> </w:t>
      </w:r>
      <w:r>
        <w:rPr>
          <w:rStyle w:val="VerbatimChar"/>
        </w:rPr>
        <w:t xml:space="preserve">xxl</w:t>
      </w:r>
      <w:r>
        <w:t xml:space="preserve">).</w:t>
      </w:r>
    </w:p>
    <w:p>
      <w:pPr>
        <w:pStyle w:val="Compact"/>
        <w:numPr>
          <w:ilvl w:val="0"/>
          <w:numId w:val="1040"/>
        </w:numPr>
      </w:pPr>
      <w:r>
        <w:t xml:space="preserve">Define global site settings: page container widths, section padding (</w:t>
      </w:r>
      <w:r>
        <w:rPr>
          <w:rStyle w:val="VerbatimChar"/>
        </w:rPr>
        <w:t xml:space="preserve">96px</w:t>
      </w:r>
      <w:r>
        <w:t xml:space="preserve"> </w:t>
      </w:r>
      <w:r>
        <w:t xml:space="preserve">desktop,</w:t>
      </w:r>
      <w:r>
        <w:t xml:space="preserve"> </w:t>
      </w:r>
      <w:r>
        <w:rPr>
          <w:rStyle w:val="VerbatimChar"/>
        </w:rPr>
        <w:t xml:space="preserve">64px</w:t>
      </w:r>
      <w:r>
        <w:t xml:space="preserve"> </w:t>
      </w:r>
      <w:r>
        <w:t xml:space="preserve">tablet,</w:t>
      </w:r>
      <w:r>
        <w:t xml:space="preserve"> </w:t>
      </w:r>
      <w:r>
        <w:rPr>
          <w:rStyle w:val="VerbatimChar"/>
        </w:rPr>
        <w:t xml:space="preserve">44px</w:t>
      </w:r>
      <w:r>
        <w:t xml:space="preserve"> </w:t>
      </w:r>
      <w:r>
        <w:t xml:space="preserve">mobile), default column gap, default row gap.</w:t>
      </w:r>
    </w:p>
    <w:p>
      <w:pPr>
        <w:pStyle w:val="Compact"/>
        <w:numPr>
          <w:ilvl w:val="0"/>
          <w:numId w:val="1040"/>
        </w:numPr>
      </w:pPr>
      <w:r>
        <w:t xml:space="preserve">Configure theme style resets: reset headings (use tokens), links (underlined on hover), form fields (dark backgrounds), buttons (use component tokens).</w:t>
      </w:r>
    </w:p>
    <w:p>
      <w:pPr>
        <w:pStyle w:val="Compact"/>
        <w:numPr>
          <w:ilvl w:val="0"/>
          <w:numId w:val="1040"/>
        </w:numPr>
      </w:pPr>
      <w:r>
        <w:t xml:space="preserve">Import the custom icon library (SVG icons). Add as global icon set. Use fonts loaded via tokens.</w:t>
      </w:r>
    </w:p>
    <w:bookmarkEnd w:id="100"/>
    <w:bookmarkStart w:id="101" w:name="templates-and-global-parts"/>
    <w:p>
      <w:pPr>
        <w:pStyle w:val="Heading3"/>
      </w:pPr>
      <w:r>
        <w:t xml:space="preserve">17.2 Templates and global parts</w:t>
      </w:r>
    </w:p>
    <w:p>
      <w:pPr>
        <w:pStyle w:val="Compact"/>
        <w:numPr>
          <w:ilvl w:val="0"/>
          <w:numId w:val="1041"/>
        </w:numPr>
      </w:pPr>
      <w:r>
        <w:rPr>
          <w:b/>
          <w:bCs/>
        </w:rPr>
        <w:t xml:space="preserve">Header and footer</w:t>
      </w:r>
      <w:r>
        <w:t xml:space="preserve"> </w:t>
      </w:r>
      <w:r>
        <w:t xml:space="preserve">– global templates. Use dynamic fields for logo, navigation. Make header transparent over hero and solid after scroll.</w:t>
      </w:r>
    </w:p>
    <w:p>
      <w:pPr>
        <w:pStyle w:val="Compact"/>
        <w:numPr>
          <w:ilvl w:val="0"/>
          <w:numId w:val="1041"/>
        </w:numPr>
      </w:pPr>
      <w:r>
        <w:rPr>
          <w:b/>
          <w:bCs/>
        </w:rPr>
        <w:t xml:space="preserve">Loop templates</w:t>
      </w:r>
      <w:r>
        <w:t xml:space="preserve"> </w:t>
      </w:r>
      <w:r>
        <w:t xml:space="preserve">– for repeating content (investigation cards, company cards). Use query builder to pull posts dynamically.</w:t>
      </w:r>
    </w:p>
    <w:p>
      <w:pPr>
        <w:pStyle w:val="Compact"/>
        <w:numPr>
          <w:ilvl w:val="0"/>
          <w:numId w:val="1041"/>
        </w:numPr>
      </w:pPr>
      <w:r>
        <w:rPr>
          <w:b/>
          <w:bCs/>
        </w:rPr>
        <w:t xml:space="preserve">Popup templates</w:t>
      </w:r>
      <w:r>
        <w:t xml:space="preserve"> </w:t>
      </w:r>
      <w:r>
        <w:t xml:space="preserve">– for newsletter sign‑up, cookie consent, evidence viewer. Style via tokens. Provide triggers (exit intent, time on page, CTA clicks).</w:t>
      </w:r>
    </w:p>
    <w:p>
      <w:pPr>
        <w:pStyle w:val="Compact"/>
        <w:numPr>
          <w:ilvl w:val="0"/>
          <w:numId w:val="1041"/>
        </w:numPr>
      </w:pPr>
      <w:r>
        <w:rPr>
          <w:b/>
          <w:bCs/>
        </w:rPr>
        <w:t xml:space="preserve">Global sections</w:t>
      </w:r>
      <w:r>
        <w:t xml:space="preserve"> </w:t>
      </w:r>
      <w:r>
        <w:t xml:space="preserve">– create once and reuse (breaking news bar, newsletter CTA, hero variations, featured story slider, author bio). Save as templates; insert via global parts.</w:t>
      </w:r>
    </w:p>
    <w:bookmarkEnd w:id="101"/>
    <w:bookmarkStart w:id="102" w:name="widgets-and-dynamic-tags"/>
    <w:p>
      <w:pPr>
        <w:pStyle w:val="Heading3"/>
      </w:pPr>
      <w:r>
        <w:t xml:space="preserve">17.3 Widgets and dynamic tags</w:t>
      </w:r>
    </w:p>
    <w:p>
      <w:pPr>
        <w:pStyle w:val="Compact"/>
        <w:numPr>
          <w:ilvl w:val="0"/>
          <w:numId w:val="1042"/>
        </w:numPr>
      </w:pPr>
      <w:r>
        <w:t xml:space="preserve">Use Elementor’s dynamic tags to connect ACF fields to widgets. For example, use</w:t>
      </w:r>
      <w:r>
        <w:t xml:space="preserve"> </w:t>
      </w:r>
      <w:r>
        <w:rPr>
          <w:rStyle w:val="VerbatimChar"/>
        </w:rPr>
        <w:t xml:space="preserve">{{acf:case_number}}</w:t>
      </w:r>
      <w:r>
        <w:t xml:space="preserve"> </w:t>
      </w:r>
      <w:r>
        <w:t xml:space="preserve">to display case numbers.</w:t>
      </w:r>
    </w:p>
    <w:p>
      <w:pPr>
        <w:pStyle w:val="Compact"/>
        <w:numPr>
          <w:ilvl w:val="0"/>
          <w:numId w:val="1042"/>
        </w:numPr>
      </w:pPr>
      <w:r>
        <w:t xml:space="preserve">Create custom widgets (via custom plugin or code snippets) when built‑in widgets are insufficient (e.g., interactive timeline, data visualisation). Ensure these widgets are responsive and tokenised.</w:t>
      </w:r>
    </w:p>
    <w:p>
      <w:pPr>
        <w:pStyle w:val="Compact"/>
        <w:numPr>
          <w:ilvl w:val="0"/>
          <w:numId w:val="1042"/>
        </w:numPr>
      </w:pPr>
      <w:r>
        <w:t xml:space="preserve">Use query controls to filter posts by taxonomy (e.g., show 6 latest investigations in category AI Crime). Use load more/pagination.</w:t>
      </w:r>
    </w:p>
    <w:p>
      <w:pPr>
        <w:pStyle w:val="Compact"/>
        <w:numPr>
          <w:ilvl w:val="0"/>
          <w:numId w:val="1042"/>
        </w:numPr>
      </w:pPr>
      <w:r>
        <w:t xml:space="preserve">Use condition logic to display elements based on ACF fields (e.g., show Verified badge only if status is Verified).</w:t>
      </w:r>
    </w:p>
    <w:bookmarkEnd w:id="102"/>
    <w:bookmarkStart w:id="103" w:name="performance"/>
    <w:p>
      <w:pPr>
        <w:pStyle w:val="Heading3"/>
      </w:pPr>
      <w:r>
        <w:t xml:space="preserve">17.4 Performance</w:t>
      </w:r>
    </w:p>
    <w:p>
      <w:pPr>
        <w:pStyle w:val="Compact"/>
        <w:numPr>
          <w:ilvl w:val="0"/>
          <w:numId w:val="1043"/>
        </w:numPr>
      </w:pPr>
      <w:r>
        <w:t xml:space="preserve">Prefers container layout over section/column for improved DOM structure.</w:t>
      </w:r>
    </w:p>
    <w:p>
      <w:pPr>
        <w:pStyle w:val="Compact"/>
        <w:numPr>
          <w:ilvl w:val="0"/>
          <w:numId w:val="1043"/>
        </w:numPr>
      </w:pPr>
      <w:r>
        <w:t xml:space="preserve">Avoid unnecessary nested containers; aim for 3–4 levels maximum.</w:t>
      </w:r>
    </w:p>
    <w:p>
      <w:pPr>
        <w:pStyle w:val="Compact"/>
        <w:numPr>
          <w:ilvl w:val="0"/>
          <w:numId w:val="1043"/>
        </w:numPr>
      </w:pPr>
      <w:r>
        <w:t xml:space="preserve">Use CSS classes instead of inline styles when possible. Define classes in theme or custom CSS file.</w:t>
      </w:r>
    </w:p>
    <w:p>
      <w:pPr>
        <w:pStyle w:val="Compact"/>
        <w:numPr>
          <w:ilvl w:val="0"/>
          <w:numId w:val="1043"/>
        </w:numPr>
      </w:pPr>
      <w:r>
        <w:t xml:space="preserve">Deactivate unused widgets to reduce asset loading.</w:t>
      </w:r>
    </w:p>
    <w:bookmarkEnd w:id="103"/>
    <w:bookmarkStart w:id="104" w:name="accessibility"/>
    <w:p>
      <w:pPr>
        <w:pStyle w:val="Heading3"/>
      </w:pPr>
      <w:r>
        <w:t xml:space="preserve">17.5 Accessibility</w:t>
      </w:r>
    </w:p>
    <w:p>
      <w:pPr>
        <w:pStyle w:val="Compact"/>
        <w:numPr>
          <w:ilvl w:val="0"/>
          <w:numId w:val="1044"/>
        </w:numPr>
      </w:pPr>
      <w:r>
        <w:t xml:space="preserve">Ensure all widgets use semantic HTML (e.g., use</w:t>
      </w:r>
      <w:r>
        <w:t xml:space="preserve"> </w:t>
      </w:r>
      <w:r>
        <w:rPr>
          <w:rStyle w:val="VerbatimChar"/>
        </w:rPr>
        <w:t xml:space="preserve">&lt;nav&gt;</w:t>
      </w:r>
      <w:r>
        <w:t xml:space="preserve"> </w:t>
      </w:r>
      <w:r>
        <w:t xml:space="preserve">for navigation,</w:t>
      </w:r>
      <w:r>
        <w:t xml:space="preserve"> </w:t>
      </w:r>
      <w:r>
        <w:rPr>
          <w:rStyle w:val="VerbatimChar"/>
        </w:rPr>
        <w:t xml:space="preserve">&lt;button&gt;</w:t>
      </w:r>
      <w:r>
        <w:t xml:space="preserve"> </w:t>
      </w:r>
      <w:r>
        <w:t xml:space="preserve">for buttons). Add</w:t>
      </w:r>
      <w:r>
        <w:t xml:space="preserve"> </w:t>
      </w:r>
      <w:r>
        <w:rPr>
          <w:rStyle w:val="VerbatimChar"/>
        </w:rPr>
        <w:t xml:space="preserve">aria-labels</w:t>
      </w:r>
      <w:r>
        <w:t xml:space="preserve"> </w:t>
      </w:r>
      <w:r>
        <w:t xml:space="preserve">where necessary.</w:t>
      </w:r>
    </w:p>
    <w:p>
      <w:pPr>
        <w:pStyle w:val="Compact"/>
        <w:numPr>
          <w:ilvl w:val="0"/>
          <w:numId w:val="1044"/>
        </w:numPr>
      </w:pPr>
      <w:r>
        <w:t xml:space="preserve">Use heading hierarchy (h1–h6) consistently. Each page must have only one H1.</w:t>
      </w:r>
    </w:p>
    <w:p>
      <w:pPr>
        <w:pStyle w:val="Compact"/>
        <w:numPr>
          <w:ilvl w:val="0"/>
          <w:numId w:val="1044"/>
        </w:numPr>
      </w:pPr>
      <w:r>
        <w:t xml:space="preserve">Provide alt text for images via dynamic fields. For decorative images, leave alt text empty.</w:t>
      </w:r>
    </w:p>
    <w:p>
      <w:pPr>
        <w:pStyle w:val="Compact"/>
        <w:numPr>
          <w:ilvl w:val="0"/>
          <w:numId w:val="1044"/>
        </w:numPr>
      </w:pPr>
      <w:r>
        <w:t xml:space="preserve">Use focusable elements and keyboard navigation for interactive components (accordions, sliders).</w:t>
      </w:r>
    </w:p>
    <w:bookmarkEnd w:id="104"/>
    <w:bookmarkEnd w:id="105"/>
    <w:bookmarkStart w:id="111" w:name="section-18-figma"/>
    <w:p>
      <w:pPr>
        <w:pStyle w:val="Heading2"/>
      </w:pPr>
      <w:r>
        <w:t xml:space="preserve">Section 18 – Figma</w:t>
      </w:r>
    </w:p>
    <w:p>
      <w:pPr>
        <w:pStyle w:val="FirstParagraph"/>
      </w:pPr>
      <w:r>
        <w:t xml:space="preserve">Figma is the source of truth for UI and UX design. The Figma library must reflect the design system tokens and provide components that can be used by designers and handed off to developers.</w:t>
      </w:r>
    </w:p>
    <w:bookmarkStart w:id="106" w:name="project-organisation"/>
    <w:p>
      <w:pPr>
        <w:pStyle w:val="Heading3"/>
      </w:pPr>
      <w:r>
        <w:t xml:space="preserve">18.1 Project organisation</w:t>
      </w:r>
    </w:p>
    <w:p>
      <w:pPr>
        <w:pStyle w:val="Compact"/>
        <w:numPr>
          <w:ilvl w:val="0"/>
          <w:numId w:val="1045"/>
        </w:numPr>
      </w:pPr>
      <w:r>
        <w:rPr>
          <w:b/>
          <w:bCs/>
        </w:rPr>
        <w:t xml:space="preserve">Library file:</w:t>
      </w:r>
      <w:r>
        <w:t xml:space="preserve"> </w:t>
      </w:r>
      <w:r>
        <w:t xml:space="preserve">Contains all tokens, foundations and base components. Use Figma variables for colours, numbers and strings. Organise variables into collections (Colours, Typography, Spacing, Radii, Shadows, Motion, Breakpoints).</w:t>
      </w:r>
    </w:p>
    <w:p>
      <w:pPr>
        <w:pStyle w:val="Compact"/>
        <w:numPr>
          <w:ilvl w:val="0"/>
          <w:numId w:val="1045"/>
        </w:numPr>
      </w:pPr>
      <w:r>
        <w:rPr>
          <w:b/>
          <w:bCs/>
        </w:rPr>
        <w:t xml:space="preserve">Component files:</w:t>
      </w:r>
      <w:r>
        <w:t xml:space="preserve"> </w:t>
      </w:r>
      <w:r>
        <w:t xml:space="preserve">For each major category (Buttons, Cards, Forms, Navigation, Data display, Templates). Components must be built with auto layout and constraints for responsiveness.</w:t>
      </w:r>
    </w:p>
    <w:p>
      <w:pPr>
        <w:pStyle w:val="Compact"/>
        <w:numPr>
          <w:ilvl w:val="0"/>
          <w:numId w:val="1045"/>
        </w:numPr>
      </w:pPr>
      <w:r>
        <w:rPr>
          <w:b/>
          <w:bCs/>
        </w:rPr>
        <w:t xml:space="preserve">Pages:</w:t>
      </w:r>
      <w:r>
        <w:t xml:space="preserve"> </w:t>
      </w:r>
      <w:r>
        <w:t xml:space="preserve">Use separate pages for Playgrounds (experimenting), Released components (published), Drafts (under review), and Archive.</w:t>
      </w:r>
    </w:p>
    <w:p>
      <w:pPr>
        <w:pStyle w:val="Compact"/>
        <w:numPr>
          <w:ilvl w:val="0"/>
          <w:numId w:val="1045"/>
        </w:numPr>
      </w:pPr>
      <w:r>
        <w:rPr>
          <w:b/>
          <w:bCs/>
        </w:rPr>
        <w:t xml:space="preserve">Versioning:</w:t>
      </w:r>
      <w:r>
        <w:t xml:space="preserve"> </w:t>
      </w:r>
      <w:r>
        <w:t xml:space="preserve">Use Figma branches for large updates; name versions; provide release notes.</w:t>
      </w:r>
    </w:p>
    <w:bookmarkEnd w:id="106"/>
    <w:bookmarkStart w:id="107" w:name="variables-and-styles"/>
    <w:p>
      <w:pPr>
        <w:pStyle w:val="Heading3"/>
      </w:pPr>
      <w:r>
        <w:t xml:space="preserve">18.2 Variables and styles</w:t>
      </w:r>
    </w:p>
    <w:p>
      <w:pPr>
        <w:pStyle w:val="Compact"/>
        <w:numPr>
          <w:ilvl w:val="0"/>
          <w:numId w:val="1046"/>
        </w:numPr>
      </w:pPr>
      <w:r>
        <w:t xml:space="preserve">Create Figma variables matching design tokens:</w:t>
      </w:r>
      <w:r>
        <w:t xml:space="preserve"> </w:t>
      </w:r>
      <w:r>
        <w:rPr>
          <w:rStyle w:val="VerbatimChar"/>
        </w:rPr>
        <w:t xml:space="preserve">color-brand-orange-500</w:t>
      </w:r>
      <w:r>
        <w:t xml:space="preserve">,</w:t>
      </w:r>
      <w:r>
        <w:t xml:space="preserve"> </w:t>
      </w:r>
      <w:r>
        <w:rPr>
          <w:rStyle w:val="VerbatimChar"/>
        </w:rPr>
        <w:t xml:space="preserve">space-md</w:t>
      </w:r>
      <w:r>
        <w:t xml:space="preserve">,</w:t>
      </w:r>
      <w:r>
        <w:t xml:space="preserve"> </w:t>
      </w:r>
      <w:r>
        <w:rPr>
          <w:rStyle w:val="VerbatimChar"/>
        </w:rPr>
        <w:t xml:space="preserve">font-size-lg</w:t>
      </w:r>
      <w:r>
        <w:t xml:space="preserve">. Assign these variables to component properties.</w:t>
      </w:r>
    </w:p>
    <w:p>
      <w:pPr>
        <w:pStyle w:val="Compact"/>
        <w:numPr>
          <w:ilvl w:val="0"/>
          <w:numId w:val="1046"/>
        </w:numPr>
      </w:pPr>
      <w:r>
        <w:t xml:space="preserve">Use</w:t>
      </w:r>
      <w:r>
        <w:t xml:space="preserve"> </w:t>
      </w:r>
      <w:r>
        <w:rPr>
          <w:rStyle w:val="VerbatimChar"/>
        </w:rPr>
        <w:t xml:space="preserve">Typography styles</w:t>
      </w:r>
      <w:r>
        <w:t xml:space="preserve"> </w:t>
      </w:r>
      <w:r>
        <w:t xml:space="preserve">to define font families, sizes, weights and line heights. Use naming conventions like</w:t>
      </w:r>
      <w:r>
        <w:t xml:space="preserve"> </w:t>
      </w:r>
      <w:r>
        <w:rPr>
          <w:rStyle w:val="VerbatimChar"/>
        </w:rPr>
        <w:t xml:space="preserve">Heading/H1</w:t>
      </w:r>
      <w:r>
        <w:t xml:space="preserve">,</w:t>
      </w:r>
      <w:r>
        <w:t xml:space="preserve"> </w:t>
      </w:r>
      <w:r>
        <w:rPr>
          <w:rStyle w:val="VerbatimChar"/>
        </w:rPr>
        <w:t xml:space="preserve">Body/Regular</w:t>
      </w:r>
      <w:r>
        <w:t xml:space="preserve">.</w:t>
      </w:r>
    </w:p>
    <w:p>
      <w:pPr>
        <w:pStyle w:val="Compact"/>
        <w:numPr>
          <w:ilvl w:val="0"/>
          <w:numId w:val="1046"/>
        </w:numPr>
      </w:pPr>
      <w:r>
        <w:t xml:space="preserve">Use</w:t>
      </w:r>
      <w:r>
        <w:t xml:space="preserve"> </w:t>
      </w:r>
      <w:r>
        <w:rPr>
          <w:rStyle w:val="VerbatimChar"/>
        </w:rPr>
        <w:t xml:space="preserve">Effect styles</w:t>
      </w:r>
      <w:r>
        <w:t xml:space="preserve"> </w:t>
      </w:r>
      <w:r>
        <w:t xml:space="preserve">for shadows and blurs;</w:t>
      </w:r>
      <w:r>
        <w:t xml:space="preserve"> </w:t>
      </w:r>
      <w:r>
        <w:rPr>
          <w:rStyle w:val="VerbatimChar"/>
        </w:rPr>
        <w:t xml:space="preserve">Grid styles</w:t>
      </w:r>
      <w:r>
        <w:t xml:space="preserve"> </w:t>
      </w:r>
      <w:r>
        <w:t xml:space="preserve">for layout;</w:t>
      </w:r>
      <w:r>
        <w:t xml:space="preserve"> </w:t>
      </w:r>
      <w:r>
        <w:rPr>
          <w:rStyle w:val="VerbatimChar"/>
        </w:rPr>
        <w:t xml:space="preserve">Radius styles</w:t>
      </w:r>
      <w:r>
        <w:t xml:space="preserve"> </w:t>
      </w:r>
      <w:r>
        <w:t xml:space="preserve">if needed.</w:t>
      </w:r>
    </w:p>
    <w:bookmarkEnd w:id="107"/>
    <w:bookmarkStart w:id="108" w:name="component-construction"/>
    <w:p>
      <w:pPr>
        <w:pStyle w:val="Heading3"/>
      </w:pPr>
      <w:r>
        <w:t xml:space="preserve">18.3 Component construction</w:t>
      </w:r>
    </w:p>
    <w:p>
      <w:pPr>
        <w:pStyle w:val="Compact"/>
        <w:numPr>
          <w:ilvl w:val="0"/>
          <w:numId w:val="1047"/>
        </w:numPr>
      </w:pPr>
      <w:r>
        <w:t xml:space="preserve">Components must be based on auto layout; set proper padding, spacing and alignment. Use boolean and instance swap properties for variants (e.g., Primary vs. Secondary buttons, with icon vs. without icon).</w:t>
      </w:r>
    </w:p>
    <w:p>
      <w:pPr>
        <w:pStyle w:val="Compact"/>
        <w:numPr>
          <w:ilvl w:val="0"/>
          <w:numId w:val="1047"/>
        </w:numPr>
      </w:pPr>
      <w:r>
        <w:t xml:space="preserve">Use nested components: e.g., build a card component by combining badge, headline, body text and CTA components.</w:t>
      </w:r>
    </w:p>
    <w:p>
      <w:pPr>
        <w:pStyle w:val="Compact"/>
        <w:numPr>
          <w:ilvl w:val="0"/>
          <w:numId w:val="1047"/>
        </w:numPr>
      </w:pPr>
      <w:r>
        <w:t xml:space="preserve">Document each component: description, properties (variant toggles), recommended usage, do’s and don’ts.</w:t>
      </w:r>
    </w:p>
    <w:p>
      <w:pPr>
        <w:pStyle w:val="Compact"/>
        <w:numPr>
          <w:ilvl w:val="0"/>
          <w:numId w:val="1047"/>
        </w:numPr>
      </w:pPr>
      <w:r>
        <w:t xml:space="preserve">For interactive components, create interactive components with prototyping (hover, pressed, disabled states). Use Figma’s interactive component feature to define state transitions.</w:t>
      </w:r>
    </w:p>
    <w:bookmarkEnd w:id="108"/>
    <w:bookmarkStart w:id="109" w:name="prototyping-and-testing"/>
    <w:p>
      <w:pPr>
        <w:pStyle w:val="Heading3"/>
      </w:pPr>
      <w:r>
        <w:t xml:space="preserve">18.4 Prototyping and testing</w:t>
      </w:r>
    </w:p>
    <w:p>
      <w:pPr>
        <w:pStyle w:val="Compact"/>
        <w:numPr>
          <w:ilvl w:val="0"/>
          <w:numId w:val="1048"/>
        </w:numPr>
      </w:pPr>
      <w:r>
        <w:t xml:space="preserve">Build prototypes for major flows (reading an investigation, filtering companies, using search). Use Figma’s prototyping features (links, overlays, interactions).</w:t>
      </w:r>
    </w:p>
    <w:p>
      <w:pPr>
        <w:pStyle w:val="Compact"/>
        <w:numPr>
          <w:ilvl w:val="0"/>
          <w:numId w:val="1048"/>
        </w:numPr>
      </w:pPr>
      <w:r>
        <w:t xml:space="preserve">Use Figma’s user testing tools (e.g., Maze integration) or export prototypes to external testing platforms. Gather feedback and update designs.</w:t>
      </w:r>
    </w:p>
    <w:bookmarkEnd w:id="109"/>
    <w:bookmarkStart w:id="110" w:name="collaboration-and-handoff"/>
    <w:p>
      <w:pPr>
        <w:pStyle w:val="Heading3"/>
      </w:pPr>
      <w:r>
        <w:t xml:space="preserve">18.5 Collaboration and handoff</w:t>
      </w:r>
    </w:p>
    <w:p>
      <w:pPr>
        <w:pStyle w:val="Compact"/>
        <w:numPr>
          <w:ilvl w:val="0"/>
          <w:numId w:val="1049"/>
        </w:numPr>
      </w:pPr>
      <w:r>
        <w:t xml:space="preserve">Provide developers with documentation via Figma inspect panel: spacing, colours, typography. Ensure variables propagate to code tokens.</w:t>
      </w:r>
    </w:p>
    <w:p>
      <w:pPr>
        <w:pStyle w:val="Compact"/>
        <w:numPr>
          <w:ilvl w:val="0"/>
          <w:numId w:val="1049"/>
        </w:numPr>
      </w:pPr>
      <w:r>
        <w:t xml:space="preserve">Use comments to discuss changes. Use design reviews to finalise components. Designers should annotate design decisions.</w:t>
      </w:r>
    </w:p>
    <w:bookmarkEnd w:id="110"/>
    <w:bookmarkEnd w:id="111"/>
    <w:bookmarkStart w:id="117" w:name="section-19-canva"/>
    <w:p>
      <w:pPr>
        <w:pStyle w:val="Heading2"/>
      </w:pPr>
      <w:r>
        <w:t xml:space="preserve">Section 19 – Canva</w:t>
      </w:r>
    </w:p>
    <w:p>
      <w:pPr>
        <w:pStyle w:val="FirstParagraph"/>
      </w:pPr>
      <w:r>
        <w:t xml:space="preserve">Canva is used to create marketing assets, social media posts, video thumbnails and other promotional materials. We must configure Canva to mirror our design system.</w:t>
      </w:r>
    </w:p>
    <w:bookmarkStart w:id="112" w:name="brand-kit"/>
    <w:p>
      <w:pPr>
        <w:pStyle w:val="Heading3"/>
      </w:pPr>
      <w:r>
        <w:t xml:space="preserve">19.1 Brand kit</w:t>
      </w:r>
    </w:p>
    <w:p>
      <w:pPr>
        <w:pStyle w:val="Compact"/>
        <w:numPr>
          <w:ilvl w:val="0"/>
          <w:numId w:val="1050"/>
        </w:numPr>
      </w:pPr>
      <w:r>
        <w:t xml:space="preserve">Import core colours, typography and logos into Canva Brand Kit. Ensure that brand colours match tokens (e.g.,</w:t>
      </w:r>
      <w:r>
        <w:t xml:space="preserve"> </w:t>
      </w:r>
      <w:r>
        <w:rPr>
          <w:rStyle w:val="VerbatimChar"/>
        </w:rPr>
        <w:t xml:space="preserve">#FF4F00</w:t>
      </w:r>
      <w:r>
        <w:t xml:space="preserve">,</w:t>
      </w:r>
      <w:r>
        <w:t xml:space="preserve"> </w:t>
      </w:r>
      <w:r>
        <w:rPr>
          <w:rStyle w:val="VerbatimChar"/>
        </w:rPr>
        <w:t xml:space="preserve">#A3E035</w:t>
      </w:r>
      <w:r>
        <w:t xml:space="preserve">, neutrals). Provide both dark and light backgrounds.</w:t>
      </w:r>
    </w:p>
    <w:p>
      <w:pPr>
        <w:pStyle w:val="Compact"/>
        <w:numPr>
          <w:ilvl w:val="0"/>
          <w:numId w:val="1050"/>
        </w:numPr>
      </w:pPr>
      <w:r>
        <w:t xml:space="preserve">Upload fonts (IBM Plex Mono and Inter). Use alternative fonts if necessary for licensing.</w:t>
      </w:r>
    </w:p>
    <w:bookmarkEnd w:id="112"/>
    <w:bookmarkStart w:id="113" w:name="templates"/>
    <w:p>
      <w:pPr>
        <w:pStyle w:val="Heading3"/>
      </w:pPr>
      <w:r>
        <w:t xml:space="preserve">19.2 Templates</w:t>
      </w:r>
    </w:p>
    <w:p>
      <w:pPr>
        <w:pStyle w:val="Compact"/>
        <w:numPr>
          <w:ilvl w:val="0"/>
          <w:numId w:val="1051"/>
        </w:numPr>
      </w:pPr>
      <w:r>
        <w:t xml:space="preserve">Create master templates for each channel:</w:t>
      </w:r>
    </w:p>
    <w:p>
      <w:pPr>
        <w:pStyle w:val="Compact"/>
        <w:numPr>
          <w:ilvl w:val="0"/>
          <w:numId w:val="1051"/>
        </w:numPr>
      </w:pPr>
      <w:r>
        <w:rPr>
          <w:b/>
          <w:bCs/>
        </w:rPr>
        <w:t xml:space="preserve">Instagram feed:</w:t>
      </w:r>
      <w:r>
        <w:t xml:space="preserve"> </w:t>
      </w:r>
      <w:r>
        <w:t xml:space="preserve">1080×1080 posts with flexible layouts (headline, subheadline, badge, case number, CTA). Use dark backgrounds with accent colour frames.</w:t>
      </w:r>
    </w:p>
    <w:p>
      <w:pPr>
        <w:pStyle w:val="Compact"/>
        <w:numPr>
          <w:ilvl w:val="0"/>
          <w:numId w:val="1051"/>
        </w:numPr>
      </w:pPr>
      <w:r>
        <w:rPr>
          <w:b/>
          <w:bCs/>
        </w:rPr>
        <w:t xml:space="preserve">Instagram stories:</w:t>
      </w:r>
      <w:r>
        <w:t xml:space="preserve"> </w:t>
      </w:r>
      <w:r>
        <w:t xml:space="preserve">1080×1920 vertical designs. Include space for titles, images and interactive stickers (polls, questions). Design sets of stories that tell a narrative.</w:t>
      </w:r>
    </w:p>
    <w:p>
      <w:pPr>
        <w:pStyle w:val="Compact"/>
        <w:numPr>
          <w:ilvl w:val="0"/>
          <w:numId w:val="1051"/>
        </w:numPr>
      </w:pPr>
      <w:r>
        <w:rPr>
          <w:b/>
          <w:bCs/>
        </w:rPr>
        <w:t xml:space="preserve">X (Twitter) cards:</w:t>
      </w:r>
      <w:r>
        <w:t xml:space="preserve"> </w:t>
      </w:r>
      <w:r>
        <w:t xml:space="preserve">1600×900 images with minimal text. Use headline, badge, and small metadata. The image must be legible when shrunk to 800×450.</w:t>
      </w:r>
    </w:p>
    <w:p>
      <w:pPr>
        <w:pStyle w:val="Compact"/>
        <w:numPr>
          <w:ilvl w:val="0"/>
          <w:numId w:val="1051"/>
        </w:numPr>
      </w:pPr>
      <w:r>
        <w:rPr>
          <w:b/>
          <w:bCs/>
        </w:rPr>
        <w:t xml:space="preserve">LinkedIn posts:</w:t>
      </w:r>
      <w:r>
        <w:t xml:space="preserve"> </w:t>
      </w:r>
      <w:r>
        <w:t xml:space="preserve">1200×627 images with more detailed text; use professional photography and charts.</w:t>
      </w:r>
    </w:p>
    <w:p>
      <w:pPr>
        <w:pStyle w:val="Compact"/>
        <w:numPr>
          <w:ilvl w:val="0"/>
          <w:numId w:val="1051"/>
        </w:numPr>
      </w:pPr>
      <w:r>
        <w:rPr>
          <w:b/>
          <w:bCs/>
        </w:rPr>
        <w:t xml:space="preserve">YouTube thumbnails:</w:t>
      </w:r>
      <w:r>
        <w:t xml:space="preserve"> </w:t>
      </w:r>
      <w:r>
        <w:t xml:space="preserve">1280×720 images. Use strong visual hierarchy: large title, compelling imagery, and badge. Avoid text clutter; ensure legibility at small sizes.</w:t>
      </w:r>
    </w:p>
    <w:p>
      <w:pPr>
        <w:pStyle w:val="Compact"/>
        <w:numPr>
          <w:ilvl w:val="0"/>
          <w:numId w:val="1051"/>
        </w:numPr>
      </w:pPr>
      <w:r>
        <w:rPr>
          <w:b/>
          <w:bCs/>
        </w:rPr>
        <w:t xml:space="preserve">Email headers:</w:t>
      </w:r>
      <w:r>
        <w:t xml:space="preserve"> </w:t>
      </w:r>
      <w:r>
        <w:t xml:space="preserve">600×400 images for newsletters. Use gradient or pattern backgrounds; include the investigation logo and tagline.</w:t>
      </w:r>
    </w:p>
    <w:p>
      <w:pPr>
        <w:pStyle w:val="Compact"/>
        <w:numPr>
          <w:ilvl w:val="0"/>
          <w:numId w:val="1051"/>
        </w:numPr>
      </w:pPr>
      <w:r>
        <w:t xml:space="preserve">Templates should be built with Canva placeholders that tie to spreadsheet columns (e.g.,</w:t>
      </w:r>
      <w:r>
        <w:t xml:space="preserve"> </w:t>
      </w:r>
      <w:r>
        <w:rPr>
          <w:rStyle w:val="VerbatimChar"/>
        </w:rPr>
        <w:t xml:space="preserve">{{headline}}</w:t>
      </w:r>
      <w:r>
        <w:t xml:space="preserve">,</w:t>
      </w:r>
      <w:r>
        <w:t xml:space="preserve"> </w:t>
      </w:r>
      <w:r>
        <w:rPr>
          <w:rStyle w:val="VerbatimChar"/>
        </w:rPr>
        <w:t xml:space="preserve">{{case_number}}</w:t>
      </w:r>
      <w:r>
        <w:t xml:space="preserve">,</w:t>
      </w:r>
      <w:r>
        <w:t xml:space="preserve"> </w:t>
      </w:r>
      <w:r>
        <w:rPr>
          <w:rStyle w:val="VerbatimChar"/>
        </w:rPr>
        <w:t xml:space="preserve">{{status}}</w:t>
      </w:r>
      <w:r>
        <w:t xml:space="preserve">). Use Bulk Create to generate multiple assets at once.</w:t>
      </w:r>
    </w:p>
    <w:bookmarkEnd w:id="113"/>
    <w:bookmarkStart w:id="114" w:name="automation-and-bulk-creation"/>
    <w:p>
      <w:pPr>
        <w:pStyle w:val="Heading3"/>
      </w:pPr>
      <w:r>
        <w:t xml:space="preserve">19.3 Automation and bulk creation</w:t>
      </w:r>
    </w:p>
    <w:p>
      <w:pPr>
        <w:pStyle w:val="Compact"/>
        <w:numPr>
          <w:ilvl w:val="0"/>
          <w:numId w:val="1052"/>
        </w:numPr>
      </w:pPr>
      <w:r>
        <w:t xml:space="preserve">Use Canva’s</w:t>
      </w:r>
      <w:r>
        <w:t xml:space="preserve"> </w:t>
      </w:r>
      <w:r>
        <w:rPr>
          <w:b/>
          <w:bCs/>
        </w:rPr>
        <w:t xml:space="preserve">Bulk Create</w:t>
      </w:r>
      <w:r>
        <w:t xml:space="preserve"> </w:t>
      </w:r>
      <w:r>
        <w:t xml:space="preserve">feature to generate multiple variations of a template using data from Google Sheets or CSV. Define column names to match placeholder tokens. For example, one column holds case numbers, another holds headlines, another holds status colours.</w:t>
      </w:r>
    </w:p>
    <w:p>
      <w:pPr>
        <w:pStyle w:val="Compact"/>
        <w:numPr>
          <w:ilvl w:val="0"/>
          <w:numId w:val="1052"/>
        </w:numPr>
      </w:pPr>
      <w:r>
        <w:t xml:space="preserve">After generating assets, review for consistency. Use Canva API or automation platforms (Make, Zapier) to export images to the media library or upload to WordPress automatically.</w:t>
      </w:r>
    </w:p>
    <w:bookmarkEnd w:id="114"/>
    <w:bookmarkStart w:id="115" w:name="video-creation"/>
    <w:p>
      <w:pPr>
        <w:pStyle w:val="Heading3"/>
      </w:pPr>
      <w:r>
        <w:t xml:space="preserve">19.4 Video creation</w:t>
      </w:r>
    </w:p>
    <w:p>
      <w:pPr>
        <w:pStyle w:val="Compact"/>
        <w:numPr>
          <w:ilvl w:val="0"/>
          <w:numId w:val="1053"/>
        </w:numPr>
      </w:pPr>
      <w:r>
        <w:t xml:space="preserve">Use Canva for motion graphics (intro/outro for NextGenSense videos). Create templates for lower thirds, title screens, quote animations and credits. Match colours and typography. Provide separate templates for horizontal (YouTube) and vertical (TikTok) videos.</w:t>
      </w:r>
    </w:p>
    <w:bookmarkEnd w:id="115"/>
    <w:bookmarkStart w:id="116" w:name="collaboration"/>
    <w:p>
      <w:pPr>
        <w:pStyle w:val="Heading3"/>
      </w:pPr>
      <w:r>
        <w:t xml:space="preserve">19.5 Collaboration</w:t>
      </w:r>
    </w:p>
    <w:p>
      <w:pPr>
        <w:pStyle w:val="Compact"/>
        <w:numPr>
          <w:ilvl w:val="0"/>
          <w:numId w:val="1054"/>
        </w:numPr>
      </w:pPr>
      <w:r>
        <w:t xml:space="preserve">Organise templates into folders (e.g.,</w:t>
      </w:r>
      <w:r>
        <w:t xml:space="preserve"> </w:t>
      </w:r>
      <w:r>
        <w:rPr>
          <w:rStyle w:val="VerbatimChar"/>
        </w:rPr>
        <w:t xml:space="preserve">NGDS/Instagram</w:t>
      </w:r>
      <w:r>
        <w:t xml:space="preserve">,</w:t>
      </w:r>
      <w:r>
        <w:t xml:space="preserve"> </w:t>
      </w:r>
      <w:r>
        <w:rPr>
          <w:rStyle w:val="VerbatimChar"/>
        </w:rPr>
        <w:t xml:space="preserve">NGDS/Youtube</w:t>
      </w:r>
      <w:r>
        <w:t xml:space="preserve">). Grant appropriate access to team members. Use version control within Canva (version history) when updating templates.</w:t>
      </w:r>
    </w:p>
    <w:bookmarkEnd w:id="116"/>
    <w:bookmarkEnd w:id="117"/>
    <w:bookmarkStart w:id="121" w:name="section-20-component-factory"/>
    <w:p>
      <w:pPr>
        <w:pStyle w:val="Heading2"/>
      </w:pPr>
      <w:r>
        <w:t xml:space="preserve">Section 20 – Component Factory</w:t>
      </w:r>
    </w:p>
    <w:p>
      <w:pPr>
        <w:pStyle w:val="FirstParagraph"/>
      </w:pPr>
      <w:r>
        <w:t xml:space="preserve">The Component Factory is an internal system responsible for building, documenting and distributing UI components across NextGenSense applications. It enforces standardisation, reduces duplication and ensures reusability.</w:t>
      </w:r>
    </w:p>
    <w:bookmarkStart w:id="118" w:name="component-lifecycle"/>
    <w:p>
      <w:pPr>
        <w:pStyle w:val="Heading3"/>
      </w:pPr>
      <w:r>
        <w:t xml:space="preserve">20.1 Component lifecycle</w:t>
      </w:r>
    </w:p>
    <w:p>
      <w:pPr>
        <w:pStyle w:val="Compact"/>
        <w:numPr>
          <w:ilvl w:val="0"/>
          <w:numId w:val="1055"/>
        </w:numPr>
      </w:pPr>
      <w:r>
        <w:rPr>
          <w:b/>
          <w:bCs/>
        </w:rPr>
        <w:t xml:space="preserve">Propose:</w:t>
      </w:r>
      <w:r>
        <w:t xml:space="preserve"> </w:t>
      </w:r>
      <w:r>
        <w:t xml:space="preserve">A team member identifies a need for a new component or variant. They submit a proposal detailing purpose, required states and design references.</w:t>
      </w:r>
    </w:p>
    <w:p>
      <w:pPr>
        <w:pStyle w:val="Compact"/>
        <w:numPr>
          <w:ilvl w:val="0"/>
          <w:numId w:val="1055"/>
        </w:numPr>
      </w:pPr>
      <w:r>
        <w:rPr>
          <w:b/>
          <w:bCs/>
        </w:rPr>
        <w:t xml:space="preserve">Review:</w:t>
      </w:r>
      <w:r>
        <w:t xml:space="preserve"> </w:t>
      </w:r>
      <w:r>
        <w:t xml:space="preserve">Design and engineering leads evaluate the proposal against existing components. If overlap exists, they suggest extending a component instead of creating a new one.</w:t>
      </w:r>
    </w:p>
    <w:p>
      <w:pPr>
        <w:pStyle w:val="Compact"/>
        <w:numPr>
          <w:ilvl w:val="0"/>
          <w:numId w:val="1055"/>
        </w:numPr>
      </w:pPr>
      <w:r>
        <w:rPr>
          <w:b/>
          <w:bCs/>
        </w:rPr>
        <w:t xml:space="preserve">Design:</w:t>
      </w:r>
      <w:r>
        <w:t xml:space="preserve"> </w:t>
      </w:r>
      <w:r>
        <w:t xml:space="preserve">Using Figma, the component is designed using tokens and auto layout. All states and variants are defined.</w:t>
      </w:r>
    </w:p>
    <w:p>
      <w:pPr>
        <w:pStyle w:val="Compact"/>
        <w:numPr>
          <w:ilvl w:val="0"/>
          <w:numId w:val="1055"/>
        </w:numPr>
      </w:pPr>
      <w:r>
        <w:rPr>
          <w:b/>
          <w:bCs/>
        </w:rPr>
        <w:t xml:space="preserve">Document:</w:t>
      </w:r>
      <w:r>
        <w:t xml:space="preserve"> </w:t>
      </w:r>
      <w:r>
        <w:t xml:space="preserve">The component is documented: anatomy, props, usage guidelines, code examples, accessibility considerations. This is published in the design system documentation.</w:t>
      </w:r>
    </w:p>
    <w:p>
      <w:pPr>
        <w:pStyle w:val="Compact"/>
        <w:numPr>
          <w:ilvl w:val="0"/>
          <w:numId w:val="1055"/>
        </w:numPr>
      </w:pPr>
      <w:r>
        <w:rPr>
          <w:b/>
          <w:bCs/>
        </w:rPr>
        <w:t xml:space="preserve">Develop:</w:t>
      </w:r>
      <w:r>
        <w:t xml:space="preserve"> </w:t>
      </w:r>
      <w:r>
        <w:t xml:space="preserve">The component is implemented in code (React, PHP, Elementor widget, etc.) using tokens. Tests are written.</w:t>
      </w:r>
    </w:p>
    <w:p>
      <w:pPr>
        <w:pStyle w:val="Compact"/>
        <w:numPr>
          <w:ilvl w:val="0"/>
          <w:numId w:val="1055"/>
        </w:numPr>
      </w:pPr>
      <w:r>
        <w:rPr>
          <w:b/>
          <w:bCs/>
        </w:rPr>
        <w:t xml:space="preserve">Approve:</w:t>
      </w:r>
      <w:r>
        <w:t xml:space="preserve"> </w:t>
      </w:r>
      <w:r>
        <w:t xml:space="preserve">A peer review ensures adherence to standards. QA verifies functionality and accessibility.</w:t>
      </w:r>
    </w:p>
    <w:p>
      <w:pPr>
        <w:pStyle w:val="Compact"/>
        <w:numPr>
          <w:ilvl w:val="0"/>
          <w:numId w:val="1055"/>
        </w:numPr>
      </w:pPr>
      <w:r>
        <w:rPr>
          <w:b/>
          <w:bCs/>
        </w:rPr>
        <w:t xml:space="preserve">Publish:</w:t>
      </w:r>
      <w:r>
        <w:t xml:space="preserve"> </w:t>
      </w:r>
      <w:r>
        <w:t xml:space="preserve">The component is released in the Figma library, Elementor templates or design system website. Teams are notified.</w:t>
      </w:r>
    </w:p>
    <w:p>
      <w:pPr>
        <w:pStyle w:val="Compact"/>
        <w:numPr>
          <w:ilvl w:val="0"/>
          <w:numId w:val="1055"/>
        </w:numPr>
      </w:pPr>
      <w:r>
        <w:rPr>
          <w:b/>
          <w:bCs/>
        </w:rPr>
        <w:t xml:space="preserve">Maintain:</w:t>
      </w:r>
      <w:r>
        <w:t xml:space="preserve"> </w:t>
      </w:r>
      <w:r>
        <w:t xml:space="preserve">When changes are required, follow versioning. Deprecate obsolete components and migrate usages.</w:t>
      </w:r>
    </w:p>
    <w:bookmarkEnd w:id="118"/>
    <w:bookmarkStart w:id="119" w:name="component-categories"/>
    <w:p>
      <w:pPr>
        <w:pStyle w:val="Heading3"/>
      </w:pPr>
      <w:r>
        <w:t xml:space="preserve">20.2 Component categories</w:t>
      </w:r>
    </w:p>
    <w:p>
      <w:pPr>
        <w:pStyle w:val="Compact"/>
        <w:numPr>
          <w:ilvl w:val="0"/>
          <w:numId w:val="1056"/>
        </w:numPr>
      </w:pPr>
      <w:r>
        <w:rPr>
          <w:b/>
          <w:bCs/>
        </w:rPr>
        <w:t xml:space="preserve">Atoms:</w:t>
      </w:r>
      <w:r>
        <w:t xml:space="preserve"> </w:t>
      </w:r>
      <w:r>
        <w:t xml:space="preserve">Labels, icons, separators, loading spinners.</w:t>
      </w:r>
    </w:p>
    <w:p>
      <w:pPr>
        <w:pStyle w:val="Compact"/>
        <w:numPr>
          <w:ilvl w:val="0"/>
          <w:numId w:val="1056"/>
        </w:numPr>
      </w:pPr>
      <w:r>
        <w:rPr>
          <w:b/>
          <w:bCs/>
        </w:rPr>
        <w:t xml:space="preserve">Molecules:</w:t>
      </w:r>
      <w:r>
        <w:t xml:space="preserve"> </w:t>
      </w:r>
      <w:r>
        <w:t xml:space="preserve">Buttons, badges, input fields, cards, table rows.</w:t>
      </w:r>
    </w:p>
    <w:p>
      <w:pPr>
        <w:pStyle w:val="Compact"/>
        <w:numPr>
          <w:ilvl w:val="0"/>
          <w:numId w:val="1056"/>
        </w:numPr>
      </w:pPr>
      <w:r>
        <w:rPr>
          <w:b/>
          <w:bCs/>
        </w:rPr>
        <w:t xml:space="preserve">Organisms:</w:t>
      </w:r>
      <w:r>
        <w:t xml:space="preserve"> </w:t>
      </w:r>
      <w:r>
        <w:t xml:space="preserve">Navigation bars, hero sections, footers, case file headers, timelines, accordions.</w:t>
      </w:r>
    </w:p>
    <w:p>
      <w:pPr>
        <w:pStyle w:val="Compact"/>
        <w:numPr>
          <w:ilvl w:val="0"/>
          <w:numId w:val="1056"/>
        </w:numPr>
      </w:pPr>
      <w:r>
        <w:rPr>
          <w:b/>
          <w:bCs/>
        </w:rPr>
        <w:t xml:space="preserve">Templates:</w:t>
      </w:r>
      <w:r>
        <w:t xml:space="preserve"> </w:t>
      </w:r>
      <w:r>
        <w:t xml:space="preserve">Pages combining multiple organisms with placeholders for content. E.g., investigation page template, company overview template.</w:t>
      </w:r>
    </w:p>
    <w:bookmarkEnd w:id="119"/>
    <w:bookmarkStart w:id="120" w:name="metadata-schema"/>
    <w:p>
      <w:pPr>
        <w:pStyle w:val="Heading3"/>
      </w:pPr>
      <w:r>
        <w:t xml:space="preserve">20.3 Metadata schema</w:t>
      </w:r>
    </w:p>
    <w:p>
      <w:pPr>
        <w:pStyle w:val="FirstParagraph"/>
      </w:pPr>
      <w:r>
        <w:t xml:space="preserve">Every component record must include:</w:t>
      </w:r>
    </w:p>
    <w:p>
      <w:pPr>
        <w:pStyle w:val="Compact"/>
        <w:numPr>
          <w:ilvl w:val="0"/>
          <w:numId w:val="1057"/>
        </w:numPr>
      </w:pPr>
      <w:r>
        <w:rPr>
          <w:rStyle w:val="VerbatimChar"/>
        </w:rPr>
        <w:t xml:space="preserve">name</w:t>
      </w:r>
      <w:r>
        <w:t xml:space="preserve">: Unique identifier.</w:t>
      </w:r>
    </w:p>
    <w:p>
      <w:pPr>
        <w:pStyle w:val="Compact"/>
        <w:numPr>
          <w:ilvl w:val="0"/>
          <w:numId w:val="1057"/>
        </w:numPr>
      </w:pPr>
      <w:r>
        <w:rPr>
          <w:rStyle w:val="VerbatimChar"/>
        </w:rPr>
        <w:t xml:space="preserve">category</w:t>
      </w:r>
      <w:r>
        <w:t xml:space="preserve">: Atom, molecule, organism, template.</w:t>
      </w:r>
    </w:p>
    <w:p>
      <w:pPr>
        <w:pStyle w:val="Compact"/>
        <w:numPr>
          <w:ilvl w:val="0"/>
          <w:numId w:val="1057"/>
        </w:numPr>
      </w:pPr>
      <w:r>
        <w:rPr>
          <w:rStyle w:val="VerbatimChar"/>
        </w:rPr>
        <w:t xml:space="preserve">description</w:t>
      </w:r>
      <w:r>
        <w:t xml:space="preserve">: Plain‑language explanation of purpose.</w:t>
      </w:r>
    </w:p>
    <w:p>
      <w:pPr>
        <w:pStyle w:val="Compact"/>
        <w:numPr>
          <w:ilvl w:val="0"/>
          <w:numId w:val="1057"/>
        </w:numPr>
      </w:pPr>
      <w:r>
        <w:rPr>
          <w:rStyle w:val="VerbatimChar"/>
        </w:rPr>
        <w:t xml:space="preserve">tokens</w:t>
      </w:r>
      <w:r>
        <w:t xml:space="preserve">: List of design tokens used.</w:t>
      </w:r>
    </w:p>
    <w:p>
      <w:pPr>
        <w:pStyle w:val="Compact"/>
        <w:numPr>
          <w:ilvl w:val="0"/>
          <w:numId w:val="1057"/>
        </w:numPr>
      </w:pPr>
      <w:r>
        <w:rPr>
          <w:rStyle w:val="VerbatimChar"/>
        </w:rPr>
        <w:t xml:space="preserve">props</w:t>
      </w:r>
      <w:r>
        <w:t xml:space="preserve">: Properties and default values (e.g.,</w:t>
      </w:r>
      <w:r>
        <w:t xml:space="preserve"> </w:t>
      </w:r>
      <w:r>
        <w:rPr>
          <w:rStyle w:val="VerbatimChar"/>
        </w:rPr>
        <w:t xml:space="preserve">size</w:t>
      </w:r>
      <w:r>
        <w:t xml:space="preserve">,</w:t>
      </w:r>
      <w:r>
        <w:t xml:space="preserve"> </w:t>
      </w:r>
      <w:r>
        <w:rPr>
          <w:rStyle w:val="VerbatimChar"/>
        </w:rPr>
        <w:t xml:space="preserve">colour</w:t>
      </w:r>
      <w:r>
        <w:t xml:space="preserve">,</w:t>
      </w:r>
      <w:r>
        <w:t xml:space="preserve"> </w:t>
      </w:r>
      <w:r>
        <w:rPr>
          <w:rStyle w:val="VerbatimChar"/>
        </w:rPr>
        <w:t xml:space="preserve">variant</w:t>
      </w:r>
      <w:r>
        <w:t xml:space="preserve">,</w:t>
      </w:r>
      <w:r>
        <w:t xml:space="preserve"> </w:t>
      </w:r>
      <w:r>
        <w:rPr>
          <w:rStyle w:val="VerbatimChar"/>
        </w:rPr>
        <w:t xml:space="preserve">state</w:t>
      </w:r>
      <w:r>
        <w:t xml:space="preserve">).</w:t>
      </w:r>
    </w:p>
    <w:p>
      <w:pPr>
        <w:pStyle w:val="Compact"/>
        <w:numPr>
          <w:ilvl w:val="0"/>
          <w:numId w:val="1057"/>
        </w:numPr>
      </w:pPr>
      <w:r>
        <w:rPr>
          <w:rStyle w:val="VerbatimChar"/>
        </w:rPr>
        <w:t xml:space="preserve">states</w:t>
      </w:r>
      <w:r>
        <w:t xml:space="preserve">: All visual states (hover, focus, active, disabled).</w:t>
      </w:r>
    </w:p>
    <w:p>
      <w:pPr>
        <w:pStyle w:val="Compact"/>
        <w:numPr>
          <w:ilvl w:val="0"/>
          <w:numId w:val="1057"/>
        </w:numPr>
      </w:pPr>
      <w:r>
        <w:rPr>
          <w:rStyle w:val="VerbatimChar"/>
        </w:rPr>
        <w:t xml:space="preserve">variants</w:t>
      </w:r>
      <w:r>
        <w:t xml:space="preserve">: Permutations (e.g., primary, secondary, tertiary; with icon, without icon).</w:t>
      </w:r>
    </w:p>
    <w:p>
      <w:pPr>
        <w:pStyle w:val="Compact"/>
        <w:numPr>
          <w:ilvl w:val="0"/>
          <w:numId w:val="1057"/>
        </w:numPr>
      </w:pPr>
      <w:r>
        <w:rPr>
          <w:rStyle w:val="VerbatimChar"/>
        </w:rPr>
        <w:t xml:space="preserve">implementation</w:t>
      </w:r>
      <w:r>
        <w:t xml:space="preserve">: Links to code or Elementor widget.</w:t>
      </w:r>
    </w:p>
    <w:p>
      <w:pPr>
        <w:pStyle w:val="Compact"/>
        <w:numPr>
          <w:ilvl w:val="0"/>
          <w:numId w:val="1057"/>
        </w:numPr>
      </w:pPr>
      <w:r>
        <w:rPr>
          <w:rStyle w:val="VerbatimChar"/>
        </w:rPr>
        <w:t xml:space="preserve">documentation_url</w:t>
      </w:r>
      <w:r>
        <w:t xml:space="preserve">: Link to full documentation.</w:t>
      </w:r>
    </w:p>
    <w:p>
      <w:pPr>
        <w:pStyle w:val="Compact"/>
        <w:numPr>
          <w:ilvl w:val="0"/>
          <w:numId w:val="1057"/>
        </w:numPr>
      </w:pPr>
      <w:r>
        <w:rPr>
          <w:rStyle w:val="VerbatimChar"/>
        </w:rPr>
        <w:t xml:space="preserve">status</w:t>
      </w:r>
      <w:r>
        <w:t xml:space="preserve">: Draft, Released, Deprecated.</w:t>
      </w:r>
    </w:p>
    <w:p>
      <w:pPr>
        <w:pStyle w:val="Compact"/>
        <w:numPr>
          <w:ilvl w:val="0"/>
          <w:numId w:val="1057"/>
        </w:numPr>
      </w:pPr>
      <w:r>
        <w:rPr>
          <w:rStyle w:val="VerbatimChar"/>
        </w:rPr>
        <w:t xml:space="preserve">version</w:t>
      </w:r>
      <w:r>
        <w:t xml:space="preserve">: Semantic version (e.g.,</w:t>
      </w:r>
      <w:r>
        <w:t xml:space="preserve"> </w:t>
      </w:r>
      <w:r>
        <w:rPr>
          <w:rStyle w:val="VerbatimChar"/>
        </w:rPr>
        <w:t xml:space="preserve">1.0.0</w:t>
      </w:r>
      <w:r>
        <w:t xml:space="preserve">).</w:t>
      </w:r>
    </w:p>
    <w:p>
      <w:pPr>
        <w:pStyle w:val="Compact"/>
        <w:numPr>
          <w:ilvl w:val="0"/>
          <w:numId w:val="1057"/>
        </w:numPr>
      </w:pPr>
      <w:r>
        <w:rPr>
          <w:rStyle w:val="VerbatimChar"/>
        </w:rPr>
        <w:t xml:space="preserve">owner</w:t>
      </w:r>
      <w:r>
        <w:t xml:space="preserve">: Person or team responsible.</w:t>
      </w:r>
    </w:p>
    <w:p>
      <w:pPr>
        <w:pStyle w:val="FirstParagraph"/>
      </w:pPr>
      <w:r>
        <w:t xml:space="preserve">Store component metadata in a central JSON file. Use scripts to generate documentation pages and update Figma library. Provide CLI commands to list components and their properties.</w:t>
      </w:r>
    </w:p>
    <w:bookmarkEnd w:id="120"/>
    <w:bookmarkEnd w:id="121"/>
    <w:bookmarkStart w:id="125" w:name="section-21-asset-factory"/>
    <w:p>
      <w:pPr>
        <w:pStyle w:val="Heading2"/>
      </w:pPr>
      <w:r>
        <w:t xml:space="preserve">Section 21 – Asset Factory</w:t>
      </w:r>
    </w:p>
    <w:p>
      <w:pPr>
        <w:pStyle w:val="FirstParagraph"/>
      </w:pPr>
      <w:r>
        <w:t xml:space="preserve">The Asset Factory automates the production of visual assets (images, videos, audio) based on templates and dynamic data. It ensures that every asset adheres to brand guidelines and can be regenerated on demand.</w:t>
      </w:r>
    </w:p>
    <w:bookmarkStart w:id="122" w:name="processes"/>
    <w:p>
      <w:pPr>
        <w:pStyle w:val="Heading3"/>
      </w:pPr>
      <w:r>
        <w:t xml:space="preserve">21.1 Processes</w:t>
      </w:r>
    </w:p>
    <w:p>
      <w:pPr>
        <w:pStyle w:val="Compact"/>
        <w:numPr>
          <w:ilvl w:val="0"/>
          <w:numId w:val="1058"/>
        </w:numPr>
      </w:pPr>
      <w:r>
        <w:rPr>
          <w:b/>
          <w:bCs/>
        </w:rPr>
        <w:t xml:space="preserve">Template design:</w:t>
      </w:r>
      <w:r>
        <w:t xml:space="preserve"> </w:t>
      </w:r>
      <w:r>
        <w:t xml:space="preserve">Designers create master templates in Canva or Figma with placeholder fields (e.g.,</w:t>
      </w:r>
      <w:r>
        <w:t xml:space="preserve"> </w:t>
      </w:r>
      <w:r>
        <w:rPr>
          <w:rStyle w:val="VerbatimChar"/>
        </w:rPr>
        <w:t xml:space="preserve">{{headline}}</w:t>
      </w:r>
      <w:r>
        <w:t xml:space="preserve">,</w:t>
      </w:r>
      <w:r>
        <w:t xml:space="preserve"> </w:t>
      </w:r>
      <w:r>
        <w:rPr>
          <w:rStyle w:val="VerbatimChar"/>
        </w:rPr>
        <w:t xml:space="preserve">{{badge}}</w:t>
      </w:r>
      <w:r>
        <w:t xml:space="preserve">,</w:t>
      </w:r>
      <w:r>
        <w:t xml:space="preserve"> </w:t>
      </w:r>
      <w:r>
        <w:rPr>
          <w:rStyle w:val="VerbatimChar"/>
        </w:rPr>
        <w:t xml:space="preserve">{{cta}}</w:t>
      </w:r>
      <w:r>
        <w:t xml:space="preserve">). Each template corresponds to a content type and channel.</w:t>
      </w:r>
    </w:p>
    <w:p>
      <w:pPr>
        <w:pStyle w:val="Compact"/>
        <w:numPr>
          <w:ilvl w:val="0"/>
          <w:numId w:val="1058"/>
        </w:numPr>
      </w:pPr>
      <w:r>
        <w:rPr>
          <w:b/>
          <w:bCs/>
        </w:rPr>
        <w:t xml:space="preserve">Data preparation:</w:t>
      </w:r>
      <w:r>
        <w:t xml:space="preserve"> </w:t>
      </w:r>
      <w:r>
        <w:t xml:space="preserve">Prepare a spreadsheet (Google Sheets) containing rows of data (variables). Columns include case number, headline, status, category, colours, CTA, image prompts, etc.</w:t>
      </w:r>
    </w:p>
    <w:p>
      <w:pPr>
        <w:pStyle w:val="Compact"/>
        <w:numPr>
          <w:ilvl w:val="0"/>
          <w:numId w:val="1058"/>
        </w:numPr>
      </w:pPr>
      <w:r>
        <w:rPr>
          <w:b/>
          <w:bCs/>
        </w:rPr>
        <w:t xml:space="preserve">Generation:</w:t>
      </w:r>
      <w:r>
        <w:t xml:space="preserve"> </w:t>
      </w:r>
      <w:r>
        <w:t xml:space="preserve">Use Bulk Create or automation scripts to combine templates and data, generating images or videos. Provide the option to specify output names (e.g.,</w:t>
      </w:r>
      <w:r>
        <w:t xml:space="preserve"> </w:t>
      </w:r>
      <w:r>
        <w:rPr>
          <w:rStyle w:val="VerbatimChar"/>
        </w:rPr>
        <w:t xml:space="preserve">investigation-{{case_number}}-instagram-feed.png</w:t>
      </w:r>
      <w:r>
        <w:t xml:space="preserve">).</w:t>
      </w:r>
    </w:p>
    <w:p>
      <w:pPr>
        <w:pStyle w:val="Compact"/>
        <w:numPr>
          <w:ilvl w:val="0"/>
          <w:numId w:val="1058"/>
        </w:numPr>
      </w:pPr>
      <w:r>
        <w:rPr>
          <w:b/>
          <w:bCs/>
        </w:rPr>
        <w:t xml:space="preserve">Review:</w:t>
      </w:r>
      <w:r>
        <w:t xml:space="preserve"> </w:t>
      </w:r>
      <w:r>
        <w:t xml:space="preserve">Automatically generated assets are collected in a review queue. Editors review and approve or request changes. Use scripts to move approved assets to the media library.</w:t>
      </w:r>
    </w:p>
    <w:p>
      <w:pPr>
        <w:pStyle w:val="Compact"/>
        <w:numPr>
          <w:ilvl w:val="0"/>
          <w:numId w:val="1058"/>
        </w:numPr>
      </w:pPr>
      <w:r>
        <w:rPr>
          <w:b/>
          <w:bCs/>
        </w:rPr>
        <w:t xml:space="preserve">Publication:</w:t>
      </w:r>
      <w:r>
        <w:t xml:space="preserve"> </w:t>
      </w:r>
      <w:r>
        <w:t xml:space="preserve">Approved assets are uploaded to WordPress and associated with posts via ACF fields. The automation engine schedules social media posts with relevant assets.</w:t>
      </w:r>
    </w:p>
    <w:bookmarkEnd w:id="122"/>
    <w:bookmarkStart w:id="123" w:name="categories-of-assets"/>
    <w:p>
      <w:pPr>
        <w:pStyle w:val="Heading3"/>
      </w:pPr>
      <w:r>
        <w:t xml:space="preserve">21.2 Categories of assets</w:t>
      </w:r>
    </w:p>
    <w:p>
      <w:pPr>
        <w:pStyle w:val="Compact"/>
        <w:numPr>
          <w:ilvl w:val="0"/>
          <w:numId w:val="1059"/>
        </w:numPr>
      </w:pPr>
      <w:r>
        <w:rPr>
          <w:b/>
          <w:bCs/>
        </w:rPr>
        <w:t xml:space="preserve">Status badges and labels:</w:t>
      </w:r>
      <w:r>
        <w:t xml:space="preserve"> </w:t>
      </w:r>
      <w:r>
        <w:t xml:space="preserve">A library of badges for statuses (Breaking, Verified), threat levels (Critical, Elevated), and classification levels (Confidential, Public). Use both filled and outline styles. Use standardised colours and radii.</w:t>
      </w:r>
    </w:p>
    <w:p>
      <w:pPr>
        <w:pStyle w:val="Compact"/>
        <w:numPr>
          <w:ilvl w:val="0"/>
          <w:numId w:val="1059"/>
        </w:numPr>
      </w:pPr>
      <w:r>
        <w:rPr>
          <w:b/>
          <w:bCs/>
        </w:rPr>
        <w:t xml:space="preserve">Infographics and charts:</w:t>
      </w:r>
      <w:r>
        <w:t xml:space="preserve"> </w:t>
      </w:r>
      <w:r>
        <w:t xml:space="preserve">Use tools like Chart.js, Flourish or Figma’s auto‑layouts to generate charts from data. Automate chart production via scripts that read data from spreadsheets and output images.</w:t>
      </w:r>
    </w:p>
    <w:p>
      <w:pPr>
        <w:pStyle w:val="Compact"/>
        <w:numPr>
          <w:ilvl w:val="0"/>
          <w:numId w:val="1059"/>
        </w:numPr>
      </w:pPr>
      <w:r>
        <w:rPr>
          <w:b/>
          <w:bCs/>
        </w:rPr>
        <w:t xml:space="preserve">Hero images:</w:t>
      </w:r>
      <w:r>
        <w:t xml:space="preserve"> </w:t>
      </w:r>
      <w:r>
        <w:t xml:space="preserve">Use AI or photographers to create custom hero images. Provide multiple backgrounds for different categories (AI crime, Surveillance). Use scripts to overlay text or glows.</w:t>
      </w:r>
    </w:p>
    <w:p>
      <w:pPr>
        <w:pStyle w:val="Compact"/>
        <w:numPr>
          <w:ilvl w:val="0"/>
          <w:numId w:val="1059"/>
        </w:numPr>
      </w:pPr>
      <w:r>
        <w:rPr>
          <w:b/>
          <w:bCs/>
        </w:rPr>
        <w:t xml:space="preserve">Icons and illustrations:</w:t>
      </w:r>
      <w:r>
        <w:t xml:space="preserve"> </w:t>
      </w:r>
      <w:r>
        <w:t xml:space="preserve">Build a library of custom icons representing AI concepts (neural networks, robots, satellites). Provide duotone and monochrome versions. Use SVG format for scalability. Document file names and tags in the asset library.</w:t>
      </w:r>
    </w:p>
    <w:p>
      <w:pPr>
        <w:pStyle w:val="Compact"/>
        <w:numPr>
          <w:ilvl w:val="0"/>
          <w:numId w:val="1059"/>
        </w:numPr>
      </w:pPr>
      <w:r>
        <w:rPr>
          <w:b/>
          <w:bCs/>
        </w:rPr>
        <w:t xml:space="preserve">Video assets:</w:t>
      </w:r>
      <w:r>
        <w:t xml:space="preserve"> </w:t>
      </w:r>
      <w:r>
        <w:t xml:space="preserve">Use templates for intros, outros, lower thirds and transitions. Use generative AI or B‑roll libraries for dynamic visuals. Provide audio and caption tracks. Automate the assembly of video components via scripting or tools like ffmpeg.</w:t>
      </w:r>
    </w:p>
    <w:p>
      <w:pPr>
        <w:pStyle w:val="Compact"/>
        <w:numPr>
          <w:ilvl w:val="0"/>
          <w:numId w:val="1059"/>
        </w:numPr>
      </w:pPr>
      <w:r>
        <w:rPr>
          <w:b/>
          <w:bCs/>
        </w:rPr>
        <w:t xml:space="preserve">Podcast covers:</w:t>
      </w:r>
      <w:r>
        <w:t xml:space="preserve"> </w:t>
      </w:r>
      <w:r>
        <w:t xml:space="preserve">Design square covers with strong typography, photographs of guests, and classification badges. Automate text overlay.</w:t>
      </w:r>
    </w:p>
    <w:bookmarkEnd w:id="123"/>
    <w:bookmarkStart w:id="124" w:name="repository-and-versioning"/>
    <w:p>
      <w:pPr>
        <w:pStyle w:val="Heading3"/>
      </w:pPr>
      <w:r>
        <w:t xml:space="preserve">21.3 Repository and versioning</w:t>
      </w:r>
    </w:p>
    <w:p>
      <w:pPr>
        <w:pStyle w:val="Compact"/>
        <w:numPr>
          <w:ilvl w:val="0"/>
          <w:numId w:val="1060"/>
        </w:numPr>
      </w:pPr>
      <w:r>
        <w:t xml:space="preserve">Store assets in a structured folder hierarchy:</w:t>
      </w:r>
      <w:r>
        <w:t xml:space="preserve"> </w:t>
      </w:r>
      <w:r>
        <w:rPr>
          <w:rStyle w:val="VerbatimChar"/>
        </w:rPr>
        <w:t xml:space="preserve">images/badges</w:t>
      </w:r>
      <w:r>
        <w:t xml:space="preserve">,</w:t>
      </w:r>
      <w:r>
        <w:t xml:space="preserve"> </w:t>
      </w:r>
      <w:r>
        <w:rPr>
          <w:rStyle w:val="VerbatimChar"/>
        </w:rPr>
        <w:t xml:space="preserve">images/headers</w:t>
      </w:r>
      <w:r>
        <w:t xml:space="preserve">,</w:t>
      </w:r>
      <w:r>
        <w:t xml:space="preserve"> </w:t>
      </w:r>
      <w:r>
        <w:rPr>
          <w:rStyle w:val="VerbatimChar"/>
        </w:rPr>
        <w:t xml:space="preserve">videos/intros</w:t>
      </w:r>
      <w:r>
        <w:t xml:space="preserve">,</w:t>
      </w:r>
      <w:r>
        <w:t xml:space="preserve"> </w:t>
      </w:r>
      <w:r>
        <w:rPr>
          <w:rStyle w:val="VerbatimChar"/>
        </w:rPr>
        <w:t xml:space="preserve">audio/soundtracks</w:t>
      </w:r>
      <w:r>
        <w:t xml:space="preserve">. Use descriptive file names. Use asset versioning (e.g.,</w:t>
      </w:r>
      <w:r>
        <w:t xml:space="preserve"> </w:t>
      </w:r>
      <w:r>
        <w:rPr>
          <w:rStyle w:val="VerbatimChar"/>
        </w:rPr>
        <w:t xml:space="preserve">badge-breaking-v1.svg</w:t>
      </w:r>
      <w:r>
        <w:t xml:space="preserve">).</w:t>
      </w:r>
    </w:p>
    <w:p>
      <w:pPr>
        <w:pStyle w:val="Compact"/>
        <w:numPr>
          <w:ilvl w:val="0"/>
          <w:numId w:val="1060"/>
        </w:numPr>
      </w:pPr>
      <w:r>
        <w:t xml:space="preserve">Use a digital asset management (DAM) tool or plugin to manage metadata, tags, search and version history. The DAM should integrate with WordPress.</w:t>
      </w:r>
    </w:p>
    <w:bookmarkEnd w:id="124"/>
    <w:bookmarkEnd w:id="125"/>
    <w:bookmarkStart w:id="130" w:name="section-22-content-factory"/>
    <w:p>
      <w:pPr>
        <w:pStyle w:val="Heading2"/>
      </w:pPr>
      <w:r>
        <w:t xml:space="preserve">Section 22 – Content Factory</w:t>
      </w:r>
    </w:p>
    <w:p>
      <w:pPr>
        <w:pStyle w:val="FirstParagraph"/>
      </w:pPr>
      <w:r>
        <w:t xml:space="preserve">The Content Factory governs how stories and other content are ideated, researched, written, edited, fact‑checked, localised and published across channels.</w:t>
      </w:r>
    </w:p>
    <w:bookmarkStart w:id="126" w:name="workflow"/>
    <w:p>
      <w:pPr>
        <w:pStyle w:val="Heading3"/>
      </w:pPr>
      <w:r>
        <w:t xml:space="preserve">22.1 Workflow</w:t>
      </w:r>
    </w:p>
    <w:p>
      <w:pPr>
        <w:pStyle w:val="Compact"/>
        <w:numPr>
          <w:ilvl w:val="0"/>
          <w:numId w:val="1061"/>
        </w:numPr>
      </w:pPr>
      <w:r>
        <w:rPr>
          <w:b/>
          <w:bCs/>
        </w:rPr>
        <w:t xml:space="preserve">Ideation:</w:t>
      </w:r>
      <w:r>
        <w:t xml:space="preserve"> </w:t>
      </w:r>
      <w:r>
        <w:t xml:space="preserve">Use AI to identify trending topics, upcoming events, regulatory changes and corporate announcements. Combine with human brainstorming. Store ideas in a content backlog with metadata (priority, category, potential sources).</w:t>
      </w:r>
    </w:p>
    <w:p>
      <w:pPr>
        <w:pStyle w:val="Compact"/>
        <w:numPr>
          <w:ilvl w:val="0"/>
          <w:numId w:val="1061"/>
        </w:numPr>
      </w:pPr>
      <w:r>
        <w:rPr>
          <w:b/>
          <w:bCs/>
        </w:rPr>
        <w:t xml:space="preserve">Assignment:</w:t>
      </w:r>
      <w:r>
        <w:t xml:space="preserve"> </w:t>
      </w:r>
      <w:r>
        <w:t xml:space="preserve">Assign topics to journalists or AI agents based on expertise. Define deadlines, deliverables and required formats (article, report, video script).</w:t>
      </w:r>
    </w:p>
    <w:p>
      <w:pPr>
        <w:pStyle w:val="Compact"/>
        <w:numPr>
          <w:ilvl w:val="0"/>
          <w:numId w:val="1061"/>
        </w:numPr>
      </w:pPr>
      <w:r>
        <w:rPr>
          <w:b/>
          <w:bCs/>
        </w:rPr>
        <w:t xml:space="preserve">Research:</w:t>
      </w:r>
      <w:r>
        <w:t xml:space="preserve"> </w:t>
      </w:r>
      <w:r>
        <w:t xml:space="preserve">Use AI to summarise academic papers, patents, lawsuits, FOIA documents and news articles. Extract entities, dates, quotes and evidence. Save sources with citation metadata.</w:t>
      </w:r>
    </w:p>
    <w:p>
      <w:pPr>
        <w:pStyle w:val="Compact"/>
        <w:numPr>
          <w:ilvl w:val="0"/>
          <w:numId w:val="1061"/>
        </w:numPr>
      </w:pPr>
      <w:r>
        <w:rPr>
          <w:b/>
          <w:bCs/>
        </w:rPr>
        <w:t xml:space="preserve">Drafting:</w:t>
      </w:r>
      <w:r>
        <w:t xml:space="preserve"> </w:t>
      </w:r>
      <w:r>
        <w:t xml:space="preserve">Use large language models to produce initial drafts, structured according to NGDS templates. Provide prompts that instruct AI to separate fact from analysis, reference sources and maintain NextGenSense voice.</w:t>
      </w:r>
    </w:p>
    <w:p>
      <w:pPr>
        <w:pStyle w:val="Compact"/>
        <w:numPr>
          <w:ilvl w:val="0"/>
          <w:numId w:val="1061"/>
        </w:numPr>
      </w:pPr>
      <w:r>
        <w:rPr>
          <w:b/>
          <w:bCs/>
        </w:rPr>
        <w:t xml:space="preserve">Review:</w:t>
      </w:r>
      <w:r>
        <w:t xml:space="preserve"> </w:t>
      </w:r>
      <w:r>
        <w:t xml:space="preserve">Editors review drafts for accuracy, clarity, tone and legal compliance. Request revisions from AI or humans. Conduct sensitivity review when topics involve victims or vulnerable populations.</w:t>
      </w:r>
    </w:p>
    <w:p>
      <w:pPr>
        <w:pStyle w:val="Compact"/>
        <w:numPr>
          <w:ilvl w:val="0"/>
          <w:numId w:val="1061"/>
        </w:numPr>
      </w:pPr>
      <w:r>
        <w:rPr>
          <w:b/>
          <w:bCs/>
        </w:rPr>
        <w:t xml:space="preserve">Fact checking:</w:t>
      </w:r>
      <w:r>
        <w:t xml:space="preserve"> </w:t>
      </w:r>
      <w:r>
        <w:t xml:space="preserve">AI Fact Checker agents verify claims by cross‑referencing sources. Use human fact‑checkers for final approval. Label stories as Verified or Developing.</w:t>
      </w:r>
    </w:p>
    <w:p>
      <w:pPr>
        <w:pStyle w:val="Compact"/>
        <w:numPr>
          <w:ilvl w:val="0"/>
          <w:numId w:val="1061"/>
        </w:numPr>
      </w:pPr>
      <w:r>
        <w:rPr>
          <w:b/>
          <w:bCs/>
        </w:rPr>
        <w:t xml:space="preserve">Translation &amp; localisation:</w:t>
      </w:r>
      <w:r>
        <w:t xml:space="preserve"> </w:t>
      </w:r>
      <w:r>
        <w:t xml:space="preserve">For non‑English audiences, use AI translation followed by human review. Adapt examples and context to local audiences.</w:t>
      </w:r>
    </w:p>
    <w:p>
      <w:pPr>
        <w:pStyle w:val="Compact"/>
        <w:numPr>
          <w:ilvl w:val="0"/>
          <w:numId w:val="1061"/>
        </w:numPr>
      </w:pPr>
      <w:r>
        <w:rPr>
          <w:b/>
          <w:bCs/>
        </w:rPr>
        <w:t xml:space="preserve">Packaging:</w:t>
      </w:r>
      <w:r>
        <w:t xml:space="preserve"> </w:t>
      </w:r>
      <w:r>
        <w:t xml:space="preserve">Use the Asset Factory to generate visuals. Insert ACF fields (case number, classification, risk score). Use Elementor templates to assemble the story.</w:t>
      </w:r>
    </w:p>
    <w:p>
      <w:pPr>
        <w:pStyle w:val="Compact"/>
        <w:numPr>
          <w:ilvl w:val="0"/>
          <w:numId w:val="1061"/>
        </w:numPr>
      </w:pPr>
      <w:r>
        <w:rPr>
          <w:b/>
          <w:bCs/>
        </w:rPr>
        <w:t xml:space="preserve">Approval &amp; publishing:</w:t>
      </w:r>
      <w:r>
        <w:t xml:space="preserve"> </w:t>
      </w:r>
      <w:r>
        <w:t xml:space="preserve">The editorial board approves final stories. Automation scripts publish content to WordPress and trigger social and newsletter distribution.</w:t>
      </w:r>
    </w:p>
    <w:p>
      <w:pPr>
        <w:pStyle w:val="Compact"/>
        <w:numPr>
          <w:ilvl w:val="0"/>
          <w:numId w:val="1061"/>
        </w:numPr>
      </w:pPr>
      <w:r>
        <w:rPr>
          <w:b/>
          <w:bCs/>
        </w:rPr>
        <w:t xml:space="preserve">Post‑publication:</w:t>
      </w:r>
      <w:r>
        <w:t xml:space="preserve"> </w:t>
      </w:r>
      <w:r>
        <w:t xml:space="preserve">Monitor analytics, comments and social reactions. Update stories as new information emerges. Archive old versions as needed.</w:t>
      </w:r>
    </w:p>
    <w:bookmarkEnd w:id="126"/>
    <w:bookmarkStart w:id="127" w:name="templates-and-structured-content"/>
    <w:p>
      <w:pPr>
        <w:pStyle w:val="Heading3"/>
      </w:pPr>
      <w:r>
        <w:t xml:space="preserve">22.2 Templates and structured content</w:t>
      </w:r>
    </w:p>
    <w:p>
      <w:pPr>
        <w:pStyle w:val="Compact"/>
        <w:numPr>
          <w:ilvl w:val="0"/>
          <w:numId w:val="1062"/>
        </w:numPr>
      </w:pPr>
      <w:r>
        <w:t xml:space="preserve">Use structured templates for different content types: investigations, reports, briefs, profiles, explainers, timelines. Each template defines sections (e.g., Introduction, Findings, Implications, Recommendations), required ACF fields and callouts (quotes, data boxes).</w:t>
      </w:r>
    </w:p>
    <w:p>
      <w:pPr>
        <w:pStyle w:val="Compact"/>
        <w:numPr>
          <w:ilvl w:val="0"/>
          <w:numId w:val="1062"/>
        </w:numPr>
      </w:pPr>
      <w:r>
        <w:t xml:space="preserve">Provide guidelines for content length, voice, citation style and tone per type. For example, investigations may be 2,000–5,000 words, include multiple sources and evidence boxes; briefs may be 500–1,000 words and summarise key facts.</w:t>
      </w:r>
    </w:p>
    <w:p>
      <w:pPr>
        <w:pStyle w:val="Compact"/>
        <w:numPr>
          <w:ilvl w:val="0"/>
          <w:numId w:val="1062"/>
        </w:numPr>
      </w:pPr>
      <w:r>
        <w:t xml:space="preserve">Use footnotes or tether ID references for citations. Each claim must link back to a source. Use consistent citation formatting across the site.</w:t>
      </w:r>
    </w:p>
    <w:bookmarkEnd w:id="127"/>
    <w:bookmarkStart w:id="128" w:name="multimedia-content"/>
    <w:p>
      <w:pPr>
        <w:pStyle w:val="Heading3"/>
      </w:pPr>
      <w:r>
        <w:t xml:space="preserve">22.3 Multimedia content</w:t>
      </w:r>
    </w:p>
    <w:p>
      <w:pPr>
        <w:pStyle w:val="Compact"/>
        <w:numPr>
          <w:ilvl w:val="0"/>
          <w:numId w:val="1063"/>
        </w:numPr>
      </w:pPr>
      <w:r>
        <w:rPr>
          <w:b/>
          <w:bCs/>
        </w:rPr>
        <w:t xml:space="preserve">Videos:</w:t>
      </w:r>
      <w:r>
        <w:t xml:space="preserve"> </w:t>
      </w:r>
      <w:r>
        <w:t xml:space="preserve">Write scripts that summarise investigations or provide commentary. Use lower thirds and on‑screen annotations to highlight key points. Provide captions and transcripts for accessibility.</w:t>
      </w:r>
    </w:p>
    <w:p>
      <w:pPr>
        <w:pStyle w:val="Compact"/>
        <w:numPr>
          <w:ilvl w:val="0"/>
          <w:numId w:val="1063"/>
        </w:numPr>
      </w:pPr>
      <w:r>
        <w:rPr>
          <w:b/>
          <w:bCs/>
        </w:rPr>
        <w:t xml:space="preserve">Podcasts:</w:t>
      </w:r>
      <w:r>
        <w:t xml:space="preserve"> </w:t>
      </w:r>
      <w:r>
        <w:t xml:space="preserve">Develop audio versions of investigations or interview series. Use consistent intro/outro audio. Provide show notes and transcripts. Tag episodes by topic and participants.</w:t>
      </w:r>
    </w:p>
    <w:p>
      <w:pPr>
        <w:pStyle w:val="Compact"/>
        <w:numPr>
          <w:ilvl w:val="0"/>
          <w:numId w:val="1063"/>
        </w:numPr>
      </w:pPr>
      <w:r>
        <w:rPr>
          <w:b/>
          <w:bCs/>
        </w:rPr>
        <w:t xml:space="preserve">Interactive infographics:</w:t>
      </w:r>
      <w:r>
        <w:t xml:space="preserve"> </w:t>
      </w:r>
      <w:r>
        <w:t xml:space="preserve">Use D3.js or other frameworks to create interactive diagrams (e.g., network graphs showing relationships between companies, people and technologies). Ensure accessible fallback for users with limited devices or bandwidth.</w:t>
      </w:r>
    </w:p>
    <w:p>
      <w:pPr>
        <w:pStyle w:val="Compact"/>
        <w:numPr>
          <w:ilvl w:val="0"/>
          <w:numId w:val="1063"/>
        </w:numPr>
      </w:pPr>
      <w:r>
        <w:rPr>
          <w:b/>
          <w:bCs/>
        </w:rPr>
        <w:t xml:space="preserve">Newsletters:</w:t>
      </w:r>
      <w:r>
        <w:t xml:space="preserve"> </w:t>
      </w:r>
      <w:r>
        <w:t xml:space="preserve">Curate weekly or daily updates summarising investigations and developments. Provide teasers and links. Use custom email templates with tokens for consistent branding.</w:t>
      </w:r>
    </w:p>
    <w:bookmarkEnd w:id="128"/>
    <w:bookmarkStart w:id="129" w:name="editorial-standards"/>
    <w:p>
      <w:pPr>
        <w:pStyle w:val="Heading3"/>
      </w:pPr>
      <w:r>
        <w:t xml:space="preserve">22.4 Editorial standards</w:t>
      </w:r>
    </w:p>
    <w:p>
      <w:pPr>
        <w:pStyle w:val="Compact"/>
        <w:numPr>
          <w:ilvl w:val="0"/>
          <w:numId w:val="1064"/>
        </w:numPr>
      </w:pPr>
      <w:r>
        <w:rPr>
          <w:b/>
          <w:bCs/>
        </w:rPr>
        <w:t xml:space="preserve">Accuracy and fairness:</w:t>
      </w:r>
      <w:r>
        <w:t xml:space="preserve"> </w:t>
      </w:r>
      <w:r>
        <w:t xml:space="preserve">Report facts accurately, avoid speculation, and present multiple perspectives. Clarify when a claim is allegation, confirmed or debunked.</w:t>
      </w:r>
    </w:p>
    <w:p>
      <w:pPr>
        <w:pStyle w:val="Compact"/>
        <w:numPr>
          <w:ilvl w:val="0"/>
          <w:numId w:val="1064"/>
        </w:numPr>
      </w:pPr>
      <w:r>
        <w:rPr>
          <w:b/>
          <w:bCs/>
        </w:rPr>
        <w:t xml:space="preserve">Transparency:</w:t>
      </w:r>
      <w:r>
        <w:t xml:space="preserve"> </w:t>
      </w:r>
      <w:r>
        <w:t xml:space="preserve">Disclose sources, methodologies and AI usage. Indicate when corrections are made. Provide context about funding or conflicts of interest.</w:t>
      </w:r>
    </w:p>
    <w:p>
      <w:pPr>
        <w:pStyle w:val="Compact"/>
        <w:numPr>
          <w:ilvl w:val="0"/>
          <w:numId w:val="1064"/>
        </w:numPr>
      </w:pPr>
      <w:r>
        <w:rPr>
          <w:b/>
          <w:bCs/>
        </w:rPr>
        <w:t xml:space="preserve">Ethics:</w:t>
      </w:r>
      <w:r>
        <w:t xml:space="preserve"> </w:t>
      </w:r>
      <w:r>
        <w:t xml:space="preserve">Avoid doxxing or harm; respect privacy and consent. Refrain from using AI to create deepfakes or manipulated media.</w:t>
      </w:r>
    </w:p>
    <w:p>
      <w:pPr>
        <w:pStyle w:val="Compact"/>
        <w:numPr>
          <w:ilvl w:val="0"/>
          <w:numId w:val="1064"/>
        </w:numPr>
      </w:pPr>
      <w:r>
        <w:rPr>
          <w:b/>
          <w:bCs/>
        </w:rPr>
        <w:t xml:space="preserve">Editorial independence:</w:t>
      </w:r>
      <w:r>
        <w:t xml:space="preserve"> </w:t>
      </w:r>
      <w:r>
        <w:t xml:space="preserve">Maintain clear separation between editorial and commercial considerations. Label sponsored or partner content. No advertising disguised as investigations.</w:t>
      </w:r>
    </w:p>
    <w:bookmarkEnd w:id="129"/>
    <w:bookmarkEnd w:id="130"/>
    <w:bookmarkStart w:id="134" w:name="section-23-automation-factory"/>
    <w:p>
      <w:pPr>
        <w:pStyle w:val="Heading2"/>
      </w:pPr>
      <w:r>
        <w:t xml:space="preserve">Section 23 – Automation Factory</w:t>
      </w:r>
    </w:p>
    <w:p>
      <w:pPr>
        <w:pStyle w:val="FirstParagraph"/>
      </w:pPr>
      <w:r>
        <w:t xml:space="preserve">The Automation Factory orchestrates the AI, scripts and workflows that enable NextGenSense to operate at scale. It is built on modular, event‑driven pipelines that connect data sources, AI models, design tools and publishing platforms.</w:t>
      </w:r>
    </w:p>
    <w:bookmarkStart w:id="131" w:name="core-infrastructure"/>
    <w:p>
      <w:pPr>
        <w:pStyle w:val="Heading3"/>
      </w:pPr>
      <w:r>
        <w:t xml:space="preserve">23.1 Core infrastructure</w:t>
      </w:r>
    </w:p>
    <w:p>
      <w:pPr>
        <w:pStyle w:val="Compact"/>
        <w:numPr>
          <w:ilvl w:val="0"/>
          <w:numId w:val="1065"/>
        </w:numPr>
      </w:pPr>
      <w:r>
        <w:rPr>
          <w:b/>
          <w:bCs/>
        </w:rPr>
        <w:t xml:space="preserve">Event queue:</w:t>
      </w:r>
      <w:r>
        <w:t xml:space="preserve"> </w:t>
      </w:r>
      <w:r>
        <w:t xml:space="preserve">Use message queues (e.g., RabbitMQ, AWS SQS, Google Pub/Sub) to decouple producers (e.g., editors adding rows to a sheet) and consumers (scripts generating drafts or images). Ensure scalability and reliability.</w:t>
      </w:r>
    </w:p>
    <w:p>
      <w:pPr>
        <w:pStyle w:val="Compact"/>
        <w:numPr>
          <w:ilvl w:val="0"/>
          <w:numId w:val="1065"/>
        </w:numPr>
      </w:pPr>
      <w:r>
        <w:rPr>
          <w:b/>
          <w:bCs/>
        </w:rPr>
        <w:t xml:space="preserve">Task orchestrators:</w:t>
      </w:r>
      <w:r>
        <w:t xml:space="preserve"> </w:t>
      </w:r>
      <w:r>
        <w:t xml:space="preserve">Use platforms like Zapier, Make, n8n or custom orchestrators to define workflows (triggers, actions, conditions). Use modular functions that can be reused across workflows.</w:t>
      </w:r>
    </w:p>
    <w:p>
      <w:pPr>
        <w:pStyle w:val="Compact"/>
        <w:numPr>
          <w:ilvl w:val="0"/>
          <w:numId w:val="1065"/>
        </w:numPr>
      </w:pPr>
      <w:r>
        <w:rPr>
          <w:b/>
          <w:bCs/>
        </w:rPr>
        <w:t xml:space="preserve">AI services:</w:t>
      </w:r>
      <w:r>
        <w:t xml:space="preserve"> </w:t>
      </w:r>
      <w:r>
        <w:t xml:space="preserve">Use OpenAI, Claude, Gemini or other models via APIs. Use distinct prompts and models for research, drafting, summarisation, fact‑checking, translation and image generation. Document each model’s capabilities and limitations.</w:t>
      </w:r>
    </w:p>
    <w:p>
      <w:pPr>
        <w:pStyle w:val="Compact"/>
        <w:numPr>
          <w:ilvl w:val="0"/>
          <w:numId w:val="1065"/>
        </w:numPr>
      </w:pPr>
      <w:r>
        <w:rPr>
          <w:b/>
          <w:bCs/>
        </w:rPr>
        <w:t xml:space="preserve">Data layer:</w:t>
      </w:r>
      <w:r>
        <w:t xml:space="preserve"> </w:t>
      </w:r>
      <w:r>
        <w:t xml:space="preserve">Store content, metadata, logs and state in a central database or structured storage (e.g., Firestore, MySQL). Use caches for frequently accessed data.</w:t>
      </w:r>
    </w:p>
    <w:p>
      <w:pPr>
        <w:pStyle w:val="Compact"/>
        <w:numPr>
          <w:ilvl w:val="0"/>
          <w:numId w:val="1065"/>
        </w:numPr>
      </w:pPr>
      <w:r>
        <w:rPr>
          <w:b/>
          <w:bCs/>
        </w:rPr>
        <w:t xml:space="preserve">Webhooks:</w:t>
      </w:r>
      <w:r>
        <w:t xml:space="preserve"> </w:t>
      </w:r>
      <w:r>
        <w:t xml:space="preserve">Provide endpoints for external triggers (e.g., form submissions, API calls) and send notifications (e.g., Slack alerts) when tasks complete or fail.</w:t>
      </w:r>
    </w:p>
    <w:bookmarkEnd w:id="131"/>
    <w:bookmarkStart w:id="132" w:name="example-pipelines"/>
    <w:p>
      <w:pPr>
        <w:pStyle w:val="Heading3"/>
      </w:pPr>
      <w:r>
        <w:t xml:space="preserve">23.2 Example pipelines</w:t>
      </w:r>
    </w:p>
    <w:p>
      <w:pPr>
        <w:numPr>
          <w:ilvl w:val="0"/>
          <w:numId w:val="1066"/>
        </w:numPr>
      </w:pPr>
      <w:r>
        <w:rPr>
          <w:b/>
          <w:bCs/>
        </w:rPr>
        <w:t xml:space="preserve">Investigation pipeline:</w:t>
      </w:r>
    </w:p>
    <w:p>
      <w:pPr>
        <w:numPr>
          <w:ilvl w:val="0"/>
          <w:numId w:val="1066"/>
        </w:numPr>
      </w:pPr>
      <w:r>
        <w:t xml:space="preserve">Trigger: New idea added to Google Sheet.</w:t>
      </w:r>
    </w:p>
    <w:p>
      <w:pPr>
        <w:pStyle w:val="Compact"/>
        <w:numPr>
          <w:ilvl w:val="0"/>
          <w:numId w:val="1066"/>
        </w:numPr>
      </w:pPr>
      <w:r>
        <w:t xml:space="preserve">Step 1: AI Research Agent gathers sources and produces a summary and entity list.</w:t>
      </w:r>
    </w:p>
    <w:p>
      <w:pPr>
        <w:pStyle w:val="Compact"/>
        <w:numPr>
          <w:ilvl w:val="0"/>
          <w:numId w:val="1066"/>
        </w:numPr>
      </w:pPr>
      <w:r>
        <w:t xml:space="preserve">Step 2: AI Draft Agent generates an outline and first draft. Saves to WordPress as Draft status.</w:t>
      </w:r>
    </w:p>
    <w:p>
      <w:pPr>
        <w:pStyle w:val="Compact"/>
        <w:numPr>
          <w:ilvl w:val="0"/>
          <w:numId w:val="1066"/>
        </w:numPr>
      </w:pPr>
      <w:r>
        <w:t xml:space="preserve">Step 3: Fact Checker Agent extracts claims and verifies them. Updates draft with notes (requires human review).</w:t>
      </w:r>
    </w:p>
    <w:p>
      <w:pPr>
        <w:pStyle w:val="Compact"/>
        <w:numPr>
          <w:ilvl w:val="0"/>
          <w:numId w:val="1066"/>
        </w:numPr>
      </w:pPr>
      <w:r>
        <w:t xml:space="preserve">Step 4: Content Editor reviews and edits. Approves publication.</w:t>
      </w:r>
    </w:p>
    <w:p>
      <w:pPr>
        <w:pStyle w:val="Compact"/>
        <w:numPr>
          <w:ilvl w:val="0"/>
          <w:numId w:val="1066"/>
        </w:numPr>
      </w:pPr>
      <w:r>
        <w:t xml:space="preserve">Step 5: Asset Factory generates hero image and social posts. Uploads to media library. Associates to post via ACF.</w:t>
      </w:r>
    </w:p>
    <w:p>
      <w:pPr>
        <w:numPr>
          <w:ilvl w:val="0"/>
          <w:numId w:val="1066"/>
        </w:numPr>
      </w:pPr>
      <w:r>
        <w:t xml:space="preserve">Step 6: Automation engine schedules post for publication. Posts to social channels. Notifies newsletter system.</w:t>
      </w:r>
    </w:p>
    <w:p>
      <w:pPr>
        <w:numPr>
          <w:ilvl w:val="0"/>
          <w:numId w:val="1066"/>
        </w:numPr>
      </w:pPr>
      <w:r>
        <w:rPr>
          <w:b/>
          <w:bCs/>
        </w:rPr>
        <w:t xml:space="preserve">Company profile pipeline:</w:t>
      </w:r>
    </w:p>
    <w:p>
      <w:pPr>
        <w:numPr>
          <w:ilvl w:val="0"/>
          <w:numId w:val="1066"/>
        </w:numPr>
      </w:pPr>
      <w:r>
        <w:t xml:space="preserve">Trigger: Create new company row in Sheet (name, category, website).</w:t>
      </w:r>
    </w:p>
    <w:p>
      <w:pPr>
        <w:pStyle w:val="Compact"/>
        <w:numPr>
          <w:ilvl w:val="0"/>
          <w:numId w:val="1066"/>
        </w:numPr>
      </w:pPr>
      <w:r>
        <w:t xml:space="preserve">AI Agent scrapes company website and public data sources to collect funding, key people, and controversies. Populates fields via API.</w:t>
      </w:r>
    </w:p>
    <w:p>
      <w:pPr>
        <w:pStyle w:val="Compact"/>
        <w:numPr>
          <w:ilvl w:val="0"/>
          <w:numId w:val="1066"/>
        </w:numPr>
      </w:pPr>
      <w:r>
        <w:t xml:space="preserve">Image script generates company card image from logo and risk indicator.</w:t>
      </w:r>
    </w:p>
    <w:p>
      <w:pPr>
        <w:numPr>
          <w:ilvl w:val="0"/>
          <w:numId w:val="1066"/>
        </w:numPr>
      </w:pPr>
      <w:r>
        <w:t xml:space="preserve">WordPress post created with all fields and dynamic relationships (to investigations). Editors refine.</w:t>
      </w:r>
    </w:p>
    <w:p>
      <w:pPr>
        <w:numPr>
          <w:ilvl w:val="0"/>
          <w:numId w:val="1066"/>
        </w:numPr>
      </w:pPr>
      <w:r>
        <w:rPr>
          <w:b/>
          <w:bCs/>
        </w:rPr>
        <w:t xml:space="preserve">Weekly newsletter pipeline:</w:t>
      </w:r>
    </w:p>
    <w:p>
      <w:pPr>
        <w:numPr>
          <w:ilvl w:val="0"/>
          <w:numId w:val="1066"/>
        </w:numPr>
      </w:pPr>
      <w:r>
        <w:t xml:space="preserve">Trigger: Every Thursday at 12 PM.</w:t>
      </w:r>
    </w:p>
    <w:p>
      <w:pPr>
        <w:pStyle w:val="Compact"/>
        <w:numPr>
          <w:ilvl w:val="0"/>
          <w:numId w:val="1066"/>
        </w:numPr>
      </w:pPr>
      <w:r>
        <w:t xml:space="preserve">Script queries WordPress for top investigations published that week, trending technologies and upcoming events.</w:t>
      </w:r>
    </w:p>
    <w:p>
      <w:pPr>
        <w:pStyle w:val="Compact"/>
        <w:numPr>
          <w:ilvl w:val="0"/>
          <w:numId w:val="1066"/>
        </w:numPr>
      </w:pPr>
      <w:r>
        <w:t xml:space="preserve">AI summarises each story into two sentences. Template system assembles newsletter in HTML and plain text using design tokens.</w:t>
      </w:r>
    </w:p>
    <w:p>
      <w:pPr>
        <w:pStyle w:val="Compact"/>
        <w:numPr>
          <w:ilvl w:val="0"/>
          <w:numId w:val="1066"/>
        </w:numPr>
      </w:pPr>
      <w:r>
        <w:t xml:space="preserve">Newsletter scheduled via email service provider. Analytics tracked.</w:t>
      </w:r>
    </w:p>
    <w:bookmarkEnd w:id="132"/>
    <w:bookmarkStart w:id="133" w:name="governance-and-maintenance"/>
    <w:p>
      <w:pPr>
        <w:pStyle w:val="Heading3"/>
      </w:pPr>
      <w:r>
        <w:t xml:space="preserve">23.3 Governance and maintenance</w:t>
      </w:r>
    </w:p>
    <w:p>
      <w:pPr>
        <w:pStyle w:val="Compact"/>
        <w:numPr>
          <w:ilvl w:val="0"/>
          <w:numId w:val="1067"/>
        </w:numPr>
      </w:pPr>
      <w:r>
        <w:rPr>
          <w:b/>
          <w:bCs/>
        </w:rPr>
        <w:t xml:space="preserve">Credentials management:</w:t>
      </w:r>
      <w:r>
        <w:t xml:space="preserve"> </w:t>
      </w:r>
      <w:r>
        <w:t xml:space="preserve">Store API keys and secrets securely (e.g., secret manager, environment variables). Rotate keys regularly.</w:t>
      </w:r>
    </w:p>
    <w:p>
      <w:pPr>
        <w:pStyle w:val="Compact"/>
        <w:numPr>
          <w:ilvl w:val="0"/>
          <w:numId w:val="1067"/>
        </w:numPr>
      </w:pPr>
      <w:r>
        <w:rPr>
          <w:b/>
          <w:bCs/>
        </w:rPr>
        <w:t xml:space="preserve">Monitoring:</w:t>
      </w:r>
      <w:r>
        <w:t xml:space="preserve"> </w:t>
      </w:r>
      <w:r>
        <w:t xml:space="preserve">Use dashboards and alerts (e.g., Grafana, Datadog) to track pipeline health, error rates, throughput and latency. Notify on-call staff when tasks fail.</w:t>
      </w:r>
    </w:p>
    <w:p>
      <w:pPr>
        <w:pStyle w:val="Compact"/>
        <w:numPr>
          <w:ilvl w:val="0"/>
          <w:numId w:val="1067"/>
        </w:numPr>
      </w:pPr>
      <w:r>
        <w:rPr>
          <w:b/>
          <w:bCs/>
        </w:rPr>
        <w:t xml:space="preserve">Scaling:</w:t>
      </w:r>
      <w:r>
        <w:t xml:space="preserve"> </w:t>
      </w:r>
      <w:r>
        <w:t xml:space="preserve">Use auto‑scaling for high‑load events. For example, when a breaking news event triggers multiple pipelines, allocate more compute.</w:t>
      </w:r>
    </w:p>
    <w:p>
      <w:pPr>
        <w:pStyle w:val="Compact"/>
        <w:numPr>
          <w:ilvl w:val="0"/>
          <w:numId w:val="1067"/>
        </w:numPr>
      </w:pPr>
      <w:r>
        <w:rPr>
          <w:b/>
          <w:bCs/>
        </w:rPr>
        <w:t xml:space="preserve">Logging and auditing:</w:t>
      </w:r>
      <w:r>
        <w:t xml:space="preserve"> </w:t>
      </w:r>
      <w:r>
        <w:t xml:space="preserve">Log inputs, outputs, errors, timestamps and user IDs for each task. Keep logs for auditing, debugging and accountability.</w:t>
      </w:r>
    </w:p>
    <w:p>
      <w:pPr>
        <w:pStyle w:val="Compact"/>
        <w:numPr>
          <w:ilvl w:val="0"/>
          <w:numId w:val="1067"/>
        </w:numPr>
      </w:pPr>
      <w:r>
        <w:rPr>
          <w:b/>
          <w:bCs/>
        </w:rPr>
        <w:t xml:space="preserve">Version control:</w:t>
      </w:r>
      <w:r>
        <w:t xml:space="preserve"> </w:t>
      </w:r>
      <w:r>
        <w:t xml:space="preserve">Version prompts, scripts and workflows. Tag stable releases; test new versions on staging.</w:t>
      </w:r>
    </w:p>
    <w:p>
      <w:pPr>
        <w:pStyle w:val="Compact"/>
        <w:numPr>
          <w:ilvl w:val="0"/>
          <w:numId w:val="1067"/>
        </w:numPr>
      </w:pPr>
      <w:r>
        <w:rPr>
          <w:b/>
          <w:bCs/>
        </w:rPr>
        <w:t xml:space="preserve">Documentation:</w:t>
      </w:r>
      <w:r>
        <w:t xml:space="preserve"> </w:t>
      </w:r>
      <w:r>
        <w:t xml:space="preserve">Maintain an automation guide with diagrams, sequence flows and dependencies. Train team members to read and modify workflows.</w:t>
      </w:r>
    </w:p>
    <w:bookmarkEnd w:id="133"/>
    <w:bookmarkEnd w:id="134"/>
    <w:bookmarkStart w:id="137" w:name="section-24-plugin-ecosystem"/>
    <w:p>
      <w:pPr>
        <w:pStyle w:val="Heading2"/>
      </w:pPr>
      <w:r>
        <w:t xml:space="preserve">Section 24 – Plugin Ecosystem</w:t>
      </w:r>
    </w:p>
    <w:p>
      <w:pPr>
        <w:pStyle w:val="FirstParagraph"/>
      </w:pPr>
      <w:r>
        <w:t xml:space="preserve">Selecting and managing WordPress plugins is critical to maintain performance, security and scalability.</w:t>
      </w:r>
    </w:p>
    <w:bookmarkStart w:id="135" w:name="approved-plugin-categories"/>
    <w:p>
      <w:pPr>
        <w:pStyle w:val="Heading3"/>
      </w:pPr>
      <w:r>
        <w:t xml:space="preserve">24.1 Approved plugin categories</w:t>
      </w:r>
    </w:p>
    <w:p>
      <w:pPr>
        <w:pStyle w:val="Compact"/>
        <w:numPr>
          <w:ilvl w:val="0"/>
          <w:numId w:val="1068"/>
        </w:numPr>
      </w:pPr>
      <w:r>
        <w:rPr>
          <w:b/>
          <w:bCs/>
        </w:rPr>
        <w:t xml:space="preserve">Page builders:</w:t>
      </w:r>
      <w:r>
        <w:t xml:space="preserve"> </w:t>
      </w:r>
      <w:r>
        <w:t xml:space="preserve">Elementor Pro (primary). Disable unused widgets.</w:t>
      </w:r>
    </w:p>
    <w:p>
      <w:pPr>
        <w:pStyle w:val="Compact"/>
        <w:numPr>
          <w:ilvl w:val="0"/>
          <w:numId w:val="1068"/>
        </w:numPr>
      </w:pPr>
      <w:r>
        <w:rPr>
          <w:b/>
          <w:bCs/>
        </w:rPr>
        <w:t xml:space="preserve">Custom fields:</w:t>
      </w:r>
      <w:r>
        <w:t xml:space="preserve"> </w:t>
      </w:r>
      <w:r>
        <w:t xml:space="preserve">ACF Pro for fields; CPT UI for registering CPTs if not using code.</w:t>
      </w:r>
    </w:p>
    <w:p>
      <w:pPr>
        <w:pStyle w:val="Compact"/>
        <w:numPr>
          <w:ilvl w:val="0"/>
          <w:numId w:val="1068"/>
        </w:numPr>
      </w:pPr>
      <w:r>
        <w:rPr>
          <w:b/>
          <w:bCs/>
        </w:rPr>
        <w:t xml:space="preserve">SEO:</w:t>
      </w:r>
      <w:r>
        <w:t xml:space="preserve"> </w:t>
      </w:r>
      <w:r>
        <w:t xml:space="preserve">RankMath or Yoast; enable schema generation and sitemaps.</w:t>
      </w:r>
    </w:p>
    <w:p>
      <w:pPr>
        <w:pStyle w:val="Compact"/>
        <w:numPr>
          <w:ilvl w:val="0"/>
          <w:numId w:val="1068"/>
        </w:numPr>
      </w:pPr>
      <w:r>
        <w:rPr>
          <w:b/>
          <w:bCs/>
        </w:rPr>
        <w:t xml:space="preserve">Caching:</w:t>
      </w:r>
      <w:r>
        <w:t xml:space="preserve"> </w:t>
      </w:r>
      <w:r>
        <w:t xml:space="preserve">WP Rocket or LiteSpeed Cache; set proper caching rules; integrate with CDN.</w:t>
      </w:r>
    </w:p>
    <w:p>
      <w:pPr>
        <w:pStyle w:val="Compact"/>
        <w:numPr>
          <w:ilvl w:val="0"/>
          <w:numId w:val="1068"/>
        </w:numPr>
      </w:pPr>
      <w:r>
        <w:rPr>
          <w:b/>
          <w:bCs/>
        </w:rPr>
        <w:t xml:space="preserve">Security:</w:t>
      </w:r>
      <w:r>
        <w:t xml:space="preserve"> </w:t>
      </w:r>
      <w:r>
        <w:t xml:space="preserve">Wordfence, iThemes Security or similar; configure firewall, login restrictions and notifications.</w:t>
      </w:r>
    </w:p>
    <w:p>
      <w:pPr>
        <w:pStyle w:val="Compact"/>
        <w:numPr>
          <w:ilvl w:val="0"/>
          <w:numId w:val="1068"/>
        </w:numPr>
      </w:pPr>
      <w:r>
        <w:rPr>
          <w:b/>
          <w:bCs/>
        </w:rPr>
        <w:t xml:space="preserve">Backup:</w:t>
      </w:r>
      <w:r>
        <w:t xml:space="preserve"> </w:t>
      </w:r>
      <w:r>
        <w:t xml:space="preserve">UpdraftPlus or VaultPress; schedule backups to remote storage (S3, GDrive).</w:t>
      </w:r>
    </w:p>
    <w:p>
      <w:pPr>
        <w:pStyle w:val="Compact"/>
        <w:numPr>
          <w:ilvl w:val="0"/>
          <w:numId w:val="1068"/>
        </w:numPr>
      </w:pPr>
      <w:r>
        <w:rPr>
          <w:b/>
          <w:bCs/>
        </w:rPr>
        <w:t xml:space="preserve">Image optimisation:</w:t>
      </w:r>
      <w:r>
        <w:t xml:space="preserve"> </w:t>
      </w:r>
      <w:r>
        <w:t xml:space="preserve">ShortPixel, Imagify or Smush; compress images and convert to WebP.</w:t>
      </w:r>
    </w:p>
    <w:p>
      <w:pPr>
        <w:pStyle w:val="Compact"/>
        <w:numPr>
          <w:ilvl w:val="0"/>
          <w:numId w:val="1068"/>
        </w:numPr>
      </w:pPr>
      <w:r>
        <w:rPr>
          <w:b/>
          <w:bCs/>
        </w:rPr>
        <w:t xml:space="preserve">Automation:</w:t>
      </w:r>
      <w:r>
        <w:t xml:space="preserve"> </w:t>
      </w:r>
      <w:r>
        <w:t xml:space="preserve">Uncanny Automator, WP Webhooks, Integration with Make or Zapier.</w:t>
      </w:r>
    </w:p>
    <w:p>
      <w:pPr>
        <w:pStyle w:val="Compact"/>
        <w:numPr>
          <w:ilvl w:val="0"/>
          <w:numId w:val="1068"/>
        </w:numPr>
      </w:pPr>
      <w:r>
        <w:rPr>
          <w:b/>
          <w:bCs/>
        </w:rPr>
        <w:t xml:space="preserve">User management:</w:t>
      </w:r>
      <w:r>
        <w:t xml:space="preserve"> </w:t>
      </w:r>
      <w:r>
        <w:t xml:space="preserve">Members or User Role Editor for role‑based access control.</w:t>
      </w:r>
    </w:p>
    <w:p>
      <w:pPr>
        <w:pStyle w:val="Compact"/>
        <w:numPr>
          <w:ilvl w:val="0"/>
          <w:numId w:val="1068"/>
        </w:numPr>
      </w:pPr>
      <w:r>
        <w:rPr>
          <w:b/>
          <w:bCs/>
        </w:rPr>
        <w:t xml:space="preserve">Search and filters:</w:t>
      </w:r>
      <w:r>
        <w:t xml:space="preserve"> </w:t>
      </w:r>
      <w:r>
        <w:t xml:space="preserve">FacetWP or SearchWP; provide advanced filtering and custom search across CPTs.</w:t>
      </w:r>
    </w:p>
    <w:p>
      <w:pPr>
        <w:pStyle w:val="Compact"/>
        <w:numPr>
          <w:ilvl w:val="0"/>
          <w:numId w:val="1068"/>
        </w:numPr>
      </w:pPr>
      <w:r>
        <w:rPr>
          <w:b/>
          <w:bCs/>
        </w:rPr>
        <w:t xml:space="preserve">Multilingual:</w:t>
      </w:r>
      <w:r>
        <w:t xml:space="preserve"> </w:t>
      </w:r>
      <w:r>
        <w:t xml:space="preserve">WPML or Polylang; translate posts, taxonomies and strings.</w:t>
      </w:r>
    </w:p>
    <w:p>
      <w:pPr>
        <w:pStyle w:val="Compact"/>
        <w:numPr>
          <w:ilvl w:val="0"/>
          <w:numId w:val="1068"/>
        </w:numPr>
      </w:pPr>
      <w:r>
        <w:rPr>
          <w:b/>
          <w:bCs/>
        </w:rPr>
        <w:t xml:space="preserve">Commenting:</w:t>
      </w:r>
      <w:r>
        <w:t xml:space="preserve"> </w:t>
      </w:r>
      <w:r>
        <w:t xml:space="preserve">Thrive Comments or native comments with improvements.</w:t>
      </w:r>
    </w:p>
    <w:p>
      <w:pPr>
        <w:pStyle w:val="Compact"/>
        <w:numPr>
          <w:ilvl w:val="0"/>
          <w:numId w:val="1068"/>
        </w:numPr>
      </w:pPr>
      <w:r>
        <w:rPr>
          <w:b/>
          <w:bCs/>
        </w:rPr>
        <w:t xml:space="preserve">Analytics:</w:t>
      </w:r>
      <w:r>
        <w:t xml:space="preserve"> </w:t>
      </w:r>
      <w:r>
        <w:t xml:space="preserve">Google Site Kit or Matomo; integrate analytics dashboards.</w:t>
      </w:r>
    </w:p>
    <w:bookmarkEnd w:id="135"/>
    <w:bookmarkStart w:id="136" w:name="plugin-guidelines"/>
    <w:p>
      <w:pPr>
        <w:pStyle w:val="Heading3"/>
      </w:pPr>
      <w:r>
        <w:t xml:space="preserve">24.2 Plugin guidelines</w:t>
      </w:r>
    </w:p>
    <w:p>
      <w:pPr>
        <w:pStyle w:val="Compact"/>
        <w:numPr>
          <w:ilvl w:val="0"/>
          <w:numId w:val="1069"/>
        </w:numPr>
      </w:pPr>
      <w:r>
        <w:t xml:space="preserve">Only install trusted plugins with active maintenance and high ratings.</w:t>
      </w:r>
    </w:p>
    <w:p>
      <w:pPr>
        <w:pStyle w:val="Compact"/>
        <w:numPr>
          <w:ilvl w:val="0"/>
          <w:numId w:val="1069"/>
        </w:numPr>
      </w:pPr>
      <w:r>
        <w:t xml:space="preserve">Minimise plugin count to reduce load and potential conflicts. If a plugin provides multiple features, enable only needed modules.</w:t>
      </w:r>
    </w:p>
    <w:p>
      <w:pPr>
        <w:pStyle w:val="Compact"/>
        <w:numPr>
          <w:ilvl w:val="0"/>
          <w:numId w:val="1069"/>
        </w:numPr>
      </w:pPr>
      <w:r>
        <w:t xml:space="preserve">Test plugins on staging before installing in production.</w:t>
      </w:r>
    </w:p>
    <w:p>
      <w:pPr>
        <w:pStyle w:val="Compact"/>
        <w:numPr>
          <w:ilvl w:val="0"/>
          <w:numId w:val="1069"/>
        </w:numPr>
      </w:pPr>
      <w:r>
        <w:t xml:space="preserve">Update plugins promptly but verify compatibility with WordPress and other plugins.</w:t>
      </w:r>
    </w:p>
    <w:p>
      <w:pPr>
        <w:pStyle w:val="Compact"/>
        <w:numPr>
          <w:ilvl w:val="0"/>
          <w:numId w:val="1069"/>
        </w:numPr>
      </w:pPr>
      <w:r>
        <w:t xml:space="preserve">Remove deactivated or unused plugins.</w:t>
      </w:r>
    </w:p>
    <w:p>
      <w:pPr>
        <w:pStyle w:val="Compact"/>
        <w:numPr>
          <w:ilvl w:val="0"/>
          <w:numId w:val="1069"/>
        </w:numPr>
      </w:pPr>
      <w:r>
        <w:t xml:space="preserve">Lock critical plugins to specific versions when necessary; document upgrade procedures.</w:t>
      </w:r>
    </w:p>
    <w:p>
      <w:pPr>
        <w:pStyle w:val="Compact"/>
        <w:numPr>
          <w:ilvl w:val="0"/>
          <w:numId w:val="1069"/>
        </w:numPr>
      </w:pPr>
      <w:r>
        <w:t xml:space="preserve">Monitor plugin performance and impact. Use Query Monitor to identify slow queries or heavy plugins.</w:t>
      </w:r>
    </w:p>
    <w:bookmarkEnd w:id="136"/>
    <w:bookmarkEnd w:id="137"/>
    <w:bookmarkStart w:id="143" w:name="section-25-launch-plan"/>
    <w:p>
      <w:pPr>
        <w:pStyle w:val="Heading2"/>
      </w:pPr>
      <w:r>
        <w:t xml:space="preserve">Section 25 – Launch Plan</w:t>
      </w:r>
    </w:p>
    <w:p>
      <w:pPr>
        <w:pStyle w:val="FirstParagraph"/>
      </w:pPr>
      <w:r>
        <w:t xml:space="preserve">Launching NextGenSense involves multiple phases, each with tasks, dependencies and timings. Use this plan as a checklist; adjust based on progress and emergent issues.</w:t>
      </w:r>
    </w:p>
    <w:bookmarkStart w:id="138" w:name="predevelopment"/>
    <w:p>
      <w:pPr>
        <w:pStyle w:val="Heading3"/>
      </w:pPr>
      <w:r>
        <w:t xml:space="preserve">25.1 Pre‑Development</w:t>
      </w:r>
    </w:p>
    <w:p>
      <w:pPr>
        <w:pStyle w:val="Compact"/>
        <w:numPr>
          <w:ilvl w:val="0"/>
          <w:numId w:val="1070"/>
        </w:numPr>
      </w:pPr>
      <w:r>
        <w:t xml:space="preserve">Finalise brand kit and design system tokens. Confirm colours and typography choices with stakeholders. Ensure tokens meet contrast guidelines</w:t>
      </w:r>
      <w:hyperlink r:id="rId21">
        <w:r>
          <w:rPr>
            <w:rStyle w:val="Hyperlink"/>
          </w:rPr>
          <w:t xml:space="preserve">[1]</w:t>
        </w:r>
      </w:hyperlink>
      <w:r>
        <w:t xml:space="preserve">.</w:t>
      </w:r>
    </w:p>
    <w:p>
      <w:pPr>
        <w:pStyle w:val="Compact"/>
        <w:numPr>
          <w:ilvl w:val="0"/>
          <w:numId w:val="1070"/>
        </w:numPr>
      </w:pPr>
      <w:r>
        <w:t xml:space="preserve">Set up version control repositories (GitHub) for design, content and code. Establish branch naming conventions and review processes.</w:t>
      </w:r>
    </w:p>
    <w:p>
      <w:pPr>
        <w:pStyle w:val="Compact"/>
        <w:numPr>
          <w:ilvl w:val="0"/>
          <w:numId w:val="1070"/>
        </w:numPr>
      </w:pPr>
      <w:r>
        <w:t xml:space="preserve">Provision development, staging and production environments. Configure domain and SSL certificates.</w:t>
      </w:r>
    </w:p>
    <w:p>
      <w:pPr>
        <w:pStyle w:val="Compact"/>
        <w:numPr>
          <w:ilvl w:val="0"/>
          <w:numId w:val="1070"/>
        </w:numPr>
      </w:pPr>
      <w:r>
        <w:t xml:space="preserve">Install WordPress and core plugins. Set up child theme and configure Elementor global settings.</w:t>
      </w:r>
    </w:p>
    <w:p>
      <w:pPr>
        <w:pStyle w:val="Compact"/>
        <w:numPr>
          <w:ilvl w:val="0"/>
          <w:numId w:val="1070"/>
        </w:numPr>
      </w:pPr>
      <w:r>
        <w:t xml:space="preserve">Configure Figma and Canva libraries. Publish initial component sets.</w:t>
      </w:r>
    </w:p>
    <w:bookmarkEnd w:id="138"/>
    <w:bookmarkStart w:id="139" w:name="development"/>
    <w:p>
      <w:pPr>
        <w:pStyle w:val="Heading3"/>
      </w:pPr>
      <w:r>
        <w:t xml:space="preserve">25.2 Development</w:t>
      </w:r>
    </w:p>
    <w:p>
      <w:pPr>
        <w:pStyle w:val="Compact"/>
        <w:numPr>
          <w:ilvl w:val="0"/>
          <w:numId w:val="1071"/>
        </w:numPr>
      </w:pPr>
      <w:r>
        <w:t xml:space="preserve">Register CPTs and taxonomies. Create ACF field groups and export JSON.</w:t>
      </w:r>
    </w:p>
    <w:p>
      <w:pPr>
        <w:pStyle w:val="Compact"/>
        <w:numPr>
          <w:ilvl w:val="0"/>
          <w:numId w:val="1071"/>
        </w:numPr>
      </w:pPr>
      <w:r>
        <w:t xml:space="preserve">Build Elementor templates for header, footer, archives, single posts and global sections. Use dynamic tags and tokens.</w:t>
      </w:r>
    </w:p>
    <w:p>
      <w:pPr>
        <w:pStyle w:val="Compact"/>
        <w:numPr>
          <w:ilvl w:val="0"/>
          <w:numId w:val="1071"/>
        </w:numPr>
      </w:pPr>
      <w:r>
        <w:t xml:space="preserve">Develop custom widgets (e.g., timeline) and shortcodes. Write theme functions (e.g., search filters, SEO enhancements).</w:t>
      </w:r>
    </w:p>
    <w:p>
      <w:pPr>
        <w:pStyle w:val="Compact"/>
        <w:numPr>
          <w:ilvl w:val="0"/>
          <w:numId w:val="1071"/>
        </w:numPr>
      </w:pPr>
      <w:r>
        <w:t xml:space="preserve">Import sample data via CSV to test templates (e.g., 10 investigations, 5 companies). Use automation scripts to generate test content.</w:t>
      </w:r>
    </w:p>
    <w:p>
      <w:pPr>
        <w:pStyle w:val="Compact"/>
        <w:numPr>
          <w:ilvl w:val="0"/>
          <w:numId w:val="1071"/>
        </w:numPr>
      </w:pPr>
      <w:r>
        <w:t xml:space="preserve">Build automation scripts for research, drafting, asset generation and publishing. Test end‑to‑end pipelines in staging.</w:t>
      </w:r>
    </w:p>
    <w:p>
      <w:pPr>
        <w:pStyle w:val="Compact"/>
        <w:numPr>
          <w:ilvl w:val="0"/>
          <w:numId w:val="1071"/>
        </w:numPr>
      </w:pPr>
      <w:r>
        <w:t xml:space="preserve">Create and document components in Figma and export as React or Elementor code where required.</w:t>
      </w:r>
    </w:p>
    <w:p>
      <w:pPr>
        <w:pStyle w:val="Compact"/>
        <w:numPr>
          <w:ilvl w:val="0"/>
          <w:numId w:val="1071"/>
        </w:numPr>
      </w:pPr>
      <w:r>
        <w:t xml:space="preserve">Design and generate initial asset packs (badges, cards, templates). Seed Canva templates.</w:t>
      </w:r>
    </w:p>
    <w:p>
      <w:pPr>
        <w:pStyle w:val="Compact"/>
        <w:numPr>
          <w:ilvl w:val="0"/>
          <w:numId w:val="1071"/>
        </w:numPr>
      </w:pPr>
      <w:r>
        <w:t xml:space="preserve">Perform accessibility, performance and cross‑browser testing. Fix issues.</w:t>
      </w:r>
    </w:p>
    <w:bookmarkEnd w:id="139"/>
    <w:bookmarkStart w:id="140" w:name="prelaunch"/>
    <w:p>
      <w:pPr>
        <w:pStyle w:val="Heading3"/>
      </w:pPr>
      <w:r>
        <w:t xml:space="preserve">25.3 Pre‑Launch</w:t>
      </w:r>
    </w:p>
    <w:p>
      <w:pPr>
        <w:pStyle w:val="Compact"/>
        <w:numPr>
          <w:ilvl w:val="0"/>
          <w:numId w:val="1072"/>
        </w:numPr>
      </w:pPr>
      <w:r>
        <w:t xml:space="preserve">Conduct full content load test: import 100+ investigations, 50+ companies. Monitor performance.</w:t>
      </w:r>
    </w:p>
    <w:p>
      <w:pPr>
        <w:pStyle w:val="Compact"/>
        <w:numPr>
          <w:ilvl w:val="0"/>
          <w:numId w:val="1072"/>
        </w:numPr>
      </w:pPr>
      <w:r>
        <w:t xml:space="preserve">Configure SEO: create sitemaps, set meta tags, implement schema markup, add canonical links.</w:t>
      </w:r>
    </w:p>
    <w:p>
      <w:pPr>
        <w:pStyle w:val="Compact"/>
        <w:numPr>
          <w:ilvl w:val="0"/>
          <w:numId w:val="1072"/>
        </w:numPr>
      </w:pPr>
      <w:r>
        <w:t xml:space="preserve">Set up analytics: connect to Google Analytics or Matomo. Configure event tracking (button clicks, newsletter signups).</w:t>
      </w:r>
    </w:p>
    <w:p>
      <w:pPr>
        <w:pStyle w:val="Compact"/>
        <w:numPr>
          <w:ilvl w:val="0"/>
          <w:numId w:val="1072"/>
        </w:numPr>
      </w:pPr>
      <w:r>
        <w:t xml:space="preserve">Review editorial workflows: test research, drafting, editing and publishing with actual stories. Gather feedback from journalists.</w:t>
      </w:r>
    </w:p>
    <w:p>
      <w:pPr>
        <w:pStyle w:val="Compact"/>
        <w:numPr>
          <w:ilvl w:val="0"/>
          <w:numId w:val="1072"/>
        </w:numPr>
      </w:pPr>
      <w:r>
        <w:t xml:space="preserve">Conduct security audit: run vulnerability scans, penetration tests. Secure admin accounts and enforce strong passwords.</w:t>
      </w:r>
    </w:p>
    <w:p>
      <w:pPr>
        <w:pStyle w:val="Compact"/>
        <w:numPr>
          <w:ilvl w:val="0"/>
          <w:numId w:val="1072"/>
        </w:numPr>
      </w:pPr>
      <w:r>
        <w:t xml:space="preserve">Test automation reliability: run pipelines multiple times; fix failures and adjust error handling.</w:t>
      </w:r>
    </w:p>
    <w:p>
      <w:pPr>
        <w:pStyle w:val="Compact"/>
        <w:numPr>
          <w:ilvl w:val="0"/>
          <w:numId w:val="1072"/>
        </w:numPr>
      </w:pPr>
      <w:r>
        <w:t xml:space="preserve">Plan marketing: design teaser campaigns, social posts, and email sequences for launch. Use Asset Factory to generate materials.</w:t>
      </w:r>
    </w:p>
    <w:bookmarkEnd w:id="140"/>
    <w:bookmarkStart w:id="141" w:name="launch-day"/>
    <w:p>
      <w:pPr>
        <w:pStyle w:val="Heading3"/>
      </w:pPr>
      <w:r>
        <w:t xml:space="preserve">25.4 Launch Day</w:t>
      </w:r>
    </w:p>
    <w:p>
      <w:pPr>
        <w:pStyle w:val="Compact"/>
        <w:numPr>
          <w:ilvl w:val="0"/>
          <w:numId w:val="1073"/>
        </w:numPr>
      </w:pPr>
      <w:r>
        <w:t xml:space="preserve">Final approval from editors, designers and stakeholders. Lock content freeze (except for urgent changes).</w:t>
      </w:r>
    </w:p>
    <w:p>
      <w:pPr>
        <w:pStyle w:val="Compact"/>
        <w:numPr>
          <w:ilvl w:val="0"/>
          <w:numId w:val="1073"/>
        </w:numPr>
      </w:pPr>
      <w:r>
        <w:t xml:space="preserve">Switch DNS to production environment. Purge caches and check site availability.</w:t>
      </w:r>
    </w:p>
    <w:p>
      <w:pPr>
        <w:pStyle w:val="Compact"/>
        <w:numPr>
          <w:ilvl w:val="0"/>
          <w:numId w:val="1073"/>
        </w:numPr>
      </w:pPr>
      <w:r>
        <w:t xml:space="preserve">Publish launch investigations and company profiles. Activate automation to distribute content.</w:t>
      </w:r>
    </w:p>
    <w:p>
      <w:pPr>
        <w:pStyle w:val="Compact"/>
        <w:numPr>
          <w:ilvl w:val="0"/>
          <w:numId w:val="1073"/>
        </w:numPr>
      </w:pPr>
      <w:r>
        <w:t xml:space="preserve">Monitor site status, analytics, error logs and social feedback. Respond to issues immediately.</w:t>
      </w:r>
    </w:p>
    <w:p>
      <w:pPr>
        <w:pStyle w:val="Compact"/>
        <w:numPr>
          <w:ilvl w:val="0"/>
          <w:numId w:val="1073"/>
        </w:numPr>
      </w:pPr>
      <w:r>
        <w:t xml:space="preserve">Announce launch on social channels and newsletters. Send press releases if applicable.</w:t>
      </w:r>
    </w:p>
    <w:p>
      <w:pPr>
        <w:pStyle w:val="Compact"/>
        <w:numPr>
          <w:ilvl w:val="0"/>
          <w:numId w:val="1073"/>
        </w:numPr>
      </w:pPr>
      <w:r>
        <w:t xml:space="preserve">Activate post‑launch monitoring tasks (performance, uptime, social engagement).</w:t>
      </w:r>
    </w:p>
    <w:bookmarkEnd w:id="141"/>
    <w:bookmarkStart w:id="142" w:name="postlaunch"/>
    <w:p>
      <w:pPr>
        <w:pStyle w:val="Heading3"/>
      </w:pPr>
      <w:r>
        <w:t xml:space="preserve">25.5 Post‑Launch</w:t>
      </w:r>
    </w:p>
    <w:p>
      <w:pPr>
        <w:pStyle w:val="Compact"/>
        <w:numPr>
          <w:ilvl w:val="0"/>
          <w:numId w:val="1074"/>
        </w:numPr>
      </w:pPr>
      <w:r>
        <w:t xml:space="preserve">Conduct a post‑launch review. Document what worked well and what needs improvement.</w:t>
      </w:r>
    </w:p>
    <w:p>
      <w:pPr>
        <w:pStyle w:val="Compact"/>
        <w:numPr>
          <w:ilvl w:val="0"/>
          <w:numId w:val="1074"/>
        </w:numPr>
      </w:pPr>
      <w:r>
        <w:t xml:space="preserve">Address bugs, performance issues and user feedback. Update templates and tokens as needed.</w:t>
      </w:r>
    </w:p>
    <w:p>
      <w:pPr>
        <w:pStyle w:val="Compact"/>
        <w:numPr>
          <w:ilvl w:val="0"/>
          <w:numId w:val="1074"/>
        </w:numPr>
      </w:pPr>
      <w:r>
        <w:t xml:space="preserve">Schedule regular system audits (weekly for the first month, then monthly).</w:t>
      </w:r>
    </w:p>
    <w:p>
      <w:pPr>
        <w:pStyle w:val="Compact"/>
        <w:numPr>
          <w:ilvl w:val="0"/>
          <w:numId w:val="1074"/>
        </w:numPr>
      </w:pPr>
      <w:r>
        <w:t xml:space="preserve">Plan subsequent content releases, feature enhancements and design refinements based on metrics and user feedback.</w:t>
      </w:r>
    </w:p>
    <w:bookmarkEnd w:id="142"/>
    <w:bookmarkEnd w:id="143"/>
    <w:bookmarkStart w:id="147" w:name="section-26-future-roadmap"/>
    <w:p>
      <w:pPr>
        <w:pStyle w:val="Heading2"/>
      </w:pPr>
      <w:r>
        <w:t xml:space="preserve">Section 26 – Future Roadmap</w:t>
      </w:r>
    </w:p>
    <w:p>
      <w:pPr>
        <w:pStyle w:val="FirstParagraph"/>
      </w:pPr>
      <w:r>
        <w:t xml:space="preserve">NextGenSense will evolve over time. This roadmap outlines planned features and initiatives, prioritised by impact and alignment with mission.</w:t>
      </w:r>
    </w:p>
    <w:bookmarkStart w:id="144" w:name="shortterm-next-3-months"/>
    <w:p>
      <w:pPr>
        <w:pStyle w:val="Heading3"/>
      </w:pPr>
      <w:r>
        <w:t xml:space="preserve">26.1 Short‑term (next 3 months)</w:t>
      </w:r>
    </w:p>
    <w:p>
      <w:pPr>
        <w:pStyle w:val="Compact"/>
        <w:numPr>
          <w:ilvl w:val="0"/>
          <w:numId w:val="1075"/>
        </w:numPr>
      </w:pPr>
      <w:r>
        <w:rPr>
          <w:b/>
          <w:bCs/>
        </w:rPr>
        <w:t xml:space="preserve">Membership and subscriptions:</w:t>
      </w:r>
      <w:r>
        <w:t xml:space="preserve"> </w:t>
      </w:r>
      <w:r>
        <w:t xml:space="preserve">Develop paid membership tiers with premium content, early access and exclusive resources.</w:t>
      </w:r>
    </w:p>
    <w:p>
      <w:pPr>
        <w:pStyle w:val="Compact"/>
        <w:numPr>
          <w:ilvl w:val="0"/>
          <w:numId w:val="1075"/>
        </w:numPr>
      </w:pPr>
      <w:r>
        <w:rPr>
          <w:b/>
          <w:bCs/>
        </w:rPr>
        <w:t xml:space="preserve">Interactive data visualisations:</w:t>
      </w:r>
      <w:r>
        <w:t xml:space="preserve"> </w:t>
      </w:r>
      <w:r>
        <w:t xml:space="preserve">Build interactive network graphs to explore relationships between companies, technologies and people.</w:t>
      </w:r>
    </w:p>
    <w:p>
      <w:pPr>
        <w:pStyle w:val="Compact"/>
        <w:numPr>
          <w:ilvl w:val="0"/>
          <w:numId w:val="1075"/>
        </w:numPr>
      </w:pPr>
      <w:r>
        <w:rPr>
          <w:b/>
          <w:bCs/>
        </w:rPr>
        <w:t xml:space="preserve">Advanced search and filtering:</w:t>
      </w:r>
      <w:r>
        <w:t xml:space="preserve"> </w:t>
      </w:r>
      <w:r>
        <w:t xml:space="preserve">Implement fuzzy search, multi‑facet filters and suggestions across all content types.</w:t>
      </w:r>
    </w:p>
    <w:p>
      <w:pPr>
        <w:pStyle w:val="Compact"/>
        <w:numPr>
          <w:ilvl w:val="0"/>
          <w:numId w:val="1075"/>
        </w:numPr>
      </w:pPr>
      <w:r>
        <w:rPr>
          <w:b/>
          <w:bCs/>
        </w:rPr>
        <w:t xml:space="preserve">Accessibility enhancements:</w:t>
      </w:r>
      <w:r>
        <w:t xml:space="preserve"> </w:t>
      </w:r>
      <w:r>
        <w:t xml:space="preserve">Add support for dark/light mode toggling; provide options for text size adjustment and high contrast.</w:t>
      </w:r>
    </w:p>
    <w:p>
      <w:pPr>
        <w:pStyle w:val="Compact"/>
        <w:numPr>
          <w:ilvl w:val="0"/>
          <w:numId w:val="1075"/>
        </w:numPr>
      </w:pPr>
      <w:r>
        <w:rPr>
          <w:b/>
          <w:bCs/>
        </w:rPr>
        <w:t xml:space="preserve">AI explainers:</w:t>
      </w:r>
      <w:r>
        <w:t xml:space="preserve"> </w:t>
      </w:r>
      <w:r>
        <w:t xml:space="preserve">Launch a series that demystifies AI concepts (e.g., generative models, reinforcement learning) for general audiences.</w:t>
      </w:r>
    </w:p>
    <w:p>
      <w:pPr>
        <w:pStyle w:val="Compact"/>
        <w:numPr>
          <w:ilvl w:val="0"/>
          <w:numId w:val="1075"/>
        </w:numPr>
      </w:pPr>
      <w:r>
        <w:rPr>
          <w:b/>
          <w:bCs/>
        </w:rPr>
        <w:t xml:space="preserve">Podcast and video series:</w:t>
      </w:r>
      <w:r>
        <w:t xml:space="preserve"> </w:t>
      </w:r>
      <w:r>
        <w:t xml:space="preserve">Expand media content with regular podcasts and video documentaries.</w:t>
      </w:r>
    </w:p>
    <w:bookmarkEnd w:id="144"/>
    <w:bookmarkStart w:id="145" w:name="mediumterm-312-months"/>
    <w:p>
      <w:pPr>
        <w:pStyle w:val="Heading3"/>
      </w:pPr>
      <w:r>
        <w:t xml:space="preserve">26.2 Medium‑term (3–12 months)</w:t>
      </w:r>
    </w:p>
    <w:p>
      <w:pPr>
        <w:pStyle w:val="Compact"/>
        <w:numPr>
          <w:ilvl w:val="0"/>
          <w:numId w:val="1076"/>
        </w:numPr>
      </w:pPr>
      <w:r>
        <w:rPr>
          <w:b/>
          <w:bCs/>
        </w:rPr>
        <w:t xml:space="preserve">User accounts and profiles:</w:t>
      </w:r>
      <w:r>
        <w:t xml:space="preserve"> </w:t>
      </w:r>
      <w:r>
        <w:t xml:space="preserve">Enable users to save investigations, follow topics, and receive personalised newsletters.</w:t>
      </w:r>
    </w:p>
    <w:p>
      <w:pPr>
        <w:pStyle w:val="Compact"/>
        <w:numPr>
          <w:ilvl w:val="0"/>
          <w:numId w:val="1076"/>
        </w:numPr>
      </w:pPr>
      <w:r>
        <w:rPr>
          <w:b/>
          <w:bCs/>
        </w:rPr>
        <w:t xml:space="preserve">Crowdsourced investigations:</w:t>
      </w:r>
      <w:r>
        <w:t xml:space="preserve"> </w:t>
      </w:r>
      <w:r>
        <w:t xml:space="preserve">Develop a submission platform where users can propose leads, documents or insights. Integrate with editorial review.</w:t>
      </w:r>
    </w:p>
    <w:p>
      <w:pPr>
        <w:pStyle w:val="Compact"/>
        <w:numPr>
          <w:ilvl w:val="0"/>
          <w:numId w:val="1076"/>
        </w:numPr>
      </w:pPr>
      <w:r>
        <w:rPr>
          <w:b/>
          <w:bCs/>
        </w:rPr>
        <w:t xml:space="preserve">AI credibility scores:</w:t>
      </w:r>
      <w:r>
        <w:t xml:space="preserve"> </w:t>
      </w:r>
      <w:r>
        <w:t xml:space="preserve">Build models to assess credibility of sources, claims and companies using data such as past controversies, citations and independent reviews.</w:t>
      </w:r>
    </w:p>
    <w:p>
      <w:pPr>
        <w:pStyle w:val="Compact"/>
        <w:numPr>
          <w:ilvl w:val="0"/>
          <w:numId w:val="1076"/>
        </w:numPr>
      </w:pPr>
      <w:r>
        <w:rPr>
          <w:b/>
          <w:bCs/>
        </w:rPr>
        <w:t xml:space="preserve">International expansion:</w:t>
      </w:r>
      <w:r>
        <w:t xml:space="preserve"> </w:t>
      </w:r>
      <w:r>
        <w:t xml:space="preserve">Localise content in multiple languages; establish regional editorial teams.</w:t>
      </w:r>
    </w:p>
    <w:p>
      <w:pPr>
        <w:pStyle w:val="Compact"/>
        <w:numPr>
          <w:ilvl w:val="0"/>
          <w:numId w:val="1076"/>
        </w:numPr>
      </w:pPr>
      <w:r>
        <w:rPr>
          <w:b/>
          <w:bCs/>
        </w:rPr>
        <w:t xml:space="preserve">Mobile app:</w:t>
      </w:r>
      <w:r>
        <w:t xml:space="preserve"> </w:t>
      </w:r>
      <w:r>
        <w:t xml:space="preserve">Develop native apps for iOS and Android with offline reading, push notifications and interactive features.</w:t>
      </w:r>
    </w:p>
    <w:p>
      <w:pPr>
        <w:pStyle w:val="Compact"/>
        <w:numPr>
          <w:ilvl w:val="0"/>
          <w:numId w:val="1076"/>
        </w:numPr>
      </w:pPr>
      <w:r>
        <w:rPr>
          <w:b/>
          <w:bCs/>
        </w:rPr>
        <w:t xml:space="preserve">Open API:</w:t>
      </w:r>
      <w:r>
        <w:t xml:space="preserve"> </w:t>
      </w:r>
      <w:r>
        <w:t xml:space="preserve">Provide a public API for researchers and partners to access investigation metadata, company data and technology information.</w:t>
      </w:r>
    </w:p>
    <w:bookmarkEnd w:id="145"/>
    <w:bookmarkStart w:id="146" w:name="longterm-beyond-1-year"/>
    <w:p>
      <w:pPr>
        <w:pStyle w:val="Heading3"/>
      </w:pPr>
      <w:r>
        <w:t xml:space="preserve">26.3 Long‑term (beyond 1 year)</w:t>
      </w:r>
    </w:p>
    <w:p>
      <w:pPr>
        <w:pStyle w:val="Compact"/>
        <w:numPr>
          <w:ilvl w:val="0"/>
          <w:numId w:val="1077"/>
        </w:numPr>
      </w:pPr>
      <w:r>
        <w:rPr>
          <w:b/>
          <w:bCs/>
        </w:rPr>
        <w:t xml:space="preserve">AI ethics certification:</w:t>
      </w:r>
      <w:r>
        <w:t xml:space="preserve"> </w:t>
      </w:r>
      <w:r>
        <w:t xml:space="preserve">Partner with academic institutions to certify AI products and companies. Provide independent audits.</w:t>
      </w:r>
    </w:p>
    <w:p>
      <w:pPr>
        <w:pStyle w:val="Compact"/>
        <w:numPr>
          <w:ilvl w:val="0"/>
          <w:numId w:val="1077"/>
        </w:numPr>
      </w:pPr>
      <w:r>
        <w:rPr>
          <w:b/>
          <w:bCs/>
        </w:rPr>
        <w:t xml:space="preserve">Education platform:</w:t>
      </w:r>
      <w:r>
        <w:t xml:space="preserve"> </w:t>
      </w:r>
      <w:r>
        <w:t xml:space="preserve">Offer courses, workshops and training on AI literacy, ethics and policy for schools, policymakers and professionals.</w:t>
      </w:r>
    </w:p>
    <w:p>
      <w:pPr>
        <w:pStyle w:val="Compact"/>
        <w:numPr>
          <w:ilvl w:val="0"/>
          <w:numId w:val="1077"/>
        </w:numPr>
      </w:pPr>
      <w:r>
        <w:rPr>
          <w:b/>
          <w:bCs/>
        </w:rPr>
        <w:t xml:space="preserve">Research grants:</w:t>
      </w:r>
      <w:r>
        <w:t xml:space="preserve"> </w:t>
      </w:r>
      <w:r>
        <w:t xml:space="preserve">Establish a fund to support investigations and research into AI accountability.</w:t>
      </w:r>
    </w:p>
    <w:p>
      <w:pPr>
        <w:pStyle w:val="Compact"/>
        <w:numPr>
          <w:ilvl w:val="0"/>
          <w:numId w:val="1077"/>
        </w:numPr>
      </w:pPr>
      <w:r>
        <w:rPr>
          <w:b/>
          <w:bCs/>
        </w:rPr>
        <w:t xml:space="preserve">Interactive documentaries:</w:t>
      </w:r>
      <w:r>
        <w:t xml:space="preserve"> </w:t>
      </w:r>
      <w:r>
        <w:t xml:space="preserve">Produce long‑form interactive experiences combining text, video, VR/AR and data visualisations.</w:t>
      </w:r>
    </w:p>
    <w:p>
      <w:pPr>
        <w:pStyle w:val="Compact"/>
        <w:numPr>
          <w:ilvl w:val="0"/>
          <w:numId w:val="1077"/>
        </w:numPr>
      </w:pPr>
      <w:r>
        <w:rPr>
          <w:b/>
          <w:bCs/>
        </w:rPr>
        <w:t xml:space="preserve">Collaborative investigations:</w:t>
      </w:r>
      <w:r>
        <w:t xml:space="preserve"> </w:t>
      </w:r>
      <w:r>
        <w:t xml:space="preserve">Build a network of investigative partners (journalists, NGOs, researchers) to collaborate on cross‑border AI stories.</w:t>
      </w:r>
    </w:p>
    <w:bookmarkEnd w:id="146"/>
    <w:bookmarkEnd w:id="147"/>
    <w:bookmarkStart w:id="149" w:name="section-27-final-iteration-loop"/>
    <w:p>
      <w:pPr>
        <w:pStyle w:val="Heading2"/>
      </w:pPr>
      <w:r>
        <w:t xml:space="preserve">Section 27 – Final Iteration Loop</w:t>
      </w:r>
    </w:p>
    <w:p>
      <w:pPr>
        <w:pStyle w:val="FirstParagraph"/>
      </w:pPr>
      <w:r>
        <w:t xml:space="preserve">The constitution ends with a self‑referential loop: after completing all tasks, return to the beginning. The operating system is not static; it evolves with technology, audience needs and ethical considerations.</w:t>
      </w:r>
    </w:p>
    <w:p>
      <w:pPr>
        <w:pStyle w:val="Compact"/>
        <w:numPr>
          <w:ilvl w:val="0"/>
          <w:numId w:val="1078"/>
        </w:numPr>
      </w:pPr>
      <w:r>
        <w:rPr>
          <w:b/>
          <w:bCs/>
        </w:rPr>
        <w:t xml:space="preserve">Reflect:</w:t>
      </w:r>
      <w:r>
        <w:t xml:space="preserve"> </w:t>
      </w:r>
      <w:r>
        <w:t xml:space="preserve">Regularly revisit the mission and non‑negotiables. Are they still relevant? Have new ethical concerns emerged? Has the audience changed?</w:t>
      </w:r>
    </w:p>
    <w:p>
      <w:pPr>
        <w:pStyle w:val="Compact"/>
        <w:numPr>
          <w:ilvl w:val="0"/>
          <w:numId w:val="1078"/>
        </w:numPr>
      </w:pPr>
      <w:r>
        <w:rPr>
          <w:b/>
          <w:bCs/>
        </w:rPr>
        <w:t xml:space="preserve">Audit:</w:t>
      </w:r>
      <w:r>
        <w:t xml:space="preserve"> </w:t>
      </w:r>
      <w:r>
        <w:t xml:space="preserve">Perform periodic audits of tokens, components, templates, automation scripts and content processes. Identify drift or redundancy.</w:t>
      </w:r>
    </w:p>
    <w:p>
      <w:pPr>
        <w:pStyle w:val="Compact"/>
        <w:numPr>
          <w:ilvl w:val="0"/>
          <w:numId w:val="1078"/>
        </w:numPr>
      </w:pPr>
      <w:r>
        <w:rPr>
          <w:b/>
          <w:bCs/>
        </w:rPr>
        <w:t xml:space="preserve">Update:</w:t>
      </w:r>
      <w:r>
        <w:t xml:space="preserve"> </w:t>
      </w:r>
      <w:r>
        <w:t xml:space="preserve">Revise sections of the constitution as new best practices arise. Document changes and communicate to the team.</w:t>
      </w:r>
    </w:p>
    <w:p>
      <w:pPr>
        <w:pStyle w:val="Compact"/>
        <w:numPr>
          <w:ilvl w:val="0"/>
          <w:numId w:val="1078"/>
        </w:numPr>
      </w:pPr>
      <w:r>
        <w:rPr>
          <w:b/>
          <w:bCs/>
        </w:rPr>
        <w:t xml:space="preserve">Reprioritise:</w:t>
      </w:r>
      <w:r>
        <w:t xml:space="preserve"> </w:t>
      </w:r>
      <w:r>
        <w:t xml:space="preserve">Review the roadmap; adjust priorities based on impact, resources and feedback.</w:t>
      </w:r>
    </w:p>
    <w:p>
      <w:pPr>
        <w:pStyle w:val="Compact"/>
        <w:numPr>
          <w:ilvl w:val="0"/>
          <w:numId w:val="1078"/>
        </w:numPr>
      </w:pPr>
      <w:r>
        <w:rPr>
          <w:b/>
          <w:bCs/>
        </w:rPr>
        <w:t xml:space="preserve">Rebuild:</w:t>
      </w:r>
      <w:r>
        <w:t xml:space="preserve"> </w:t>
      </w:r>
      <w:r>
        <w:t xml:space="preserve">Some systems will require refactoring or rebuilding to maintain scalability and performance. Budget time for technical debt remediation.</w:t>
      </w:r>
    </w:p>
    <w:p>
      <w:pPr>
        <w:pStyle w:val="Compact"/>
        <w:numPr>
          <w:ilvl w:val="0"/>
          <w:numId w:val="1078"/>
        </w:numPr>
      </w:pPr>
      <w:r>
        <w:rPr>
          <w:b/>
          <w:bCs/>
        </w:rPr>
        <w:t xml:space="preserve">Expand:</w:t>
      </w:r>
      <w:r>
        <w:t xml:space="preserve"> </w:t>
      </w:r>
      <w:r>
        <w:t xml:space="preserve">Explore new media formats, interactive technologies and AI capabilities to tell stories more effectively.</w:t>
      </w:r>
    </w:p>
    <w:bookmarkStart w:id="148" w:name="closing-statement"/>
    <w:p>
      <w:pPr>
        <w:pStyle w:val="Heading3"/>
      </w:pPr>
      <w:r>
        <w:t xml:space="preserve">Closing statement</w:t>
      </w:r>
    </w:p>
    <w:p>
      <w:pPr>
        <w:pStyle w:val="FirstParagraph"/>
      </w:pPr>
      <w:r>
        <w:t xml:space="preserve">This constitution is a living document. It encapsulates our vision of an</w:t>
      </w:r>
      <w:r>
        <w:t xml:space="preserve"> </w:t>
      </w:r>
      <w:r>
        <w:rPr>
          <w:b/>
          <w:bCs/>
        </w:rPr>
        <w:t xml:space="preserve">AI Media Operating System</w:t>
      </w:r>
      <w:r>
        <w:t xml:space="preserve"> </w:t>
      </w:r>
      <w:r>
        <w:t xml:space="preserve">that powers transparent, ethical and compelling journalism. By adhering to its principles—especially the emphasis on design tokens, accessibility, automation and continuous improvement—NextGenSense will remain adaptable and innovative. It is our collective responsibility to uphold and evolve this constitution as the world of AI and media continues to change.</w:t>
      </w:r>
    </w:p>
    <w:bookmarkEnd w:id="148"/>
    <w:bookmarkEnd w:id="149"/>
    <w:bookmarkEnd w:id="150"/>
    <w:bookmarkEnd w:id="151"/>
    <w:p>
      <w:r>
        <w:pict>
          <v:rect style="width:0;height:1.5pt" o:hralign="center" o:hrstd="t" o:hr="t"/>
        </w:pict>
      </w:r>
    </w:p>
    <w:bookmarkStart w:id="154"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30">
        <w:r>
          <w:rPr>
            <w:rStyle w:val="Hyperlink"/>
          </w:rPr>
          <w:t xml:space="preserve">[4]</w:t>
        </w:r>
      </w:hyperlink>
      <w:r>
        <w:t xml:space="preserve"> </w:t>
      </w:r>
      <w:hyperlink r:id="rId33">
        <w:r>
          <w:rPr>
            <w:rStyle w:val="Hyperlink"/>
          </w:rPr>
          <w:t xml:space="preserve">[5]</w:t>
        </w:r>
      </w:hyperlink>
      <w:r>
        <w:t xml:space="preserve"> </w:t>
      </w:r>
      <w:r>
        <w:t xml:space="preserve">Using color | U.S. Web Design System (USWDS)</w:t>
      </w:r>
    </w:p>
    <w:p>
      <w:pPr>
        <w:pStyle w:val="BodyText"/>
      </w:pPr>
      <w:hyperlink r:id="rId152">
        <w:r>
          <w:rPr>
            <w:rStyle w:val="Hyperlink"/>
          </w:rPr>
          <w:t xml:space="preserve">https://designsystem.digital.gov/design-tokens/color/overview/</w:t>
        </w:r>
      </w:hyperlink>
    </w:p>
    <w:p>
      <w:pPr>
        <w:pStyle w:val="BodyText"/>
      </w:pPr>
      <w:hyperlink r:id="rId22">
        <w:r>
          <w:rPr>
            <w:rStyle w:val="Hyperlink"/>
          </w:rPr>
          <w:t xml:space="preserve">[2]</w:t>
        </w:r>
      </w:hyperlink>
      <w:r>
        <w:t xml:space="preserve"> </w:t>
      </w:r>
      <w:r>
        <w:t xml:space="preserve">Design System Foundations - Design Tokens</w:t>
      </w:r>
    </w:p>
    <w:p>
      <w:pPr>
        <w:pStyle w:val="BodyText"/>
      </w:pPr>
      <w:hyperlink r:id="rId153">
        <w:r>
          <w:rPr>
            <w:rStyle w:val="Hyperlink"/>
          </w:rPr>
          <w:t xml:space="preserve">https://pegasusdesignsystem.com/design-system-foundations-design-tokens/</w:t>
        </w:r>
      </w:hyperlink>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2" Target="https://designsystem.digital.gov/design-tokens/color/overview/" TargetMode="External" /><Relationship Type="http://schemas.openxmlformats.org/officeDocument/2006/relationships/hyperlink" Id="rId30" Target="https://designsystem.digital.gov/design-tokens/color/overview/#:~:text=,contrast%20against%20both%20pure%20white" TargetMode="External" /><Relationship Type="http://schemas.openxmlformats.org/officeDocument/2006/relationships/hyperlink" Id="rId21" Target="https://designsystem.digital.gov/design-tokens/color/overview/#:~:text=Section%20508%2C%20which%20aligns%20with,bold%20or%2024px%2B%20normal%20text" TargetMode="External" /><Relationship Type="http://schemas.openxmlformats.org/officeDocument/2006/relationships/hyperlink" Id="rId24" Target="https://designsystem.digital.gov/design-tokens/color/overview/#:~:text=When%20it%20comes%20to%20color%2C,consider%20these%20general%20guidelines" TargetMode="External" /><Relationship Type="http://schemas.openxmlformats.org/officeDocument/2006/relationships/hyperlink" Id="rId33" Target="https://designsystem.digital.gov/design-tokens/color/overview/#:~:text=that%20message,message%20without%20relying%20on%20color" TargetMode="External" /><Relationship Type="http://schemas.openxmlformats.org/officeDocument/2006/relationships/hyperlink" Id="rId153" Target="https://pegasusdesignsystem.com/design-system-foundations-design-tokens/" TargetMode="External" /><Relationship Type="http://schemas.openxmlformats.org/officeDocument/2006/relationships/hyperlink" Id="rId22" Target="https://pegasusdesignsystem.com/design-system-foundations-design-tokens/#:~:text=Design%20Tokens%20are%20the%20smallest%2C,across%20different%20platforms%20and%20products" TargetMode="External" /></Relationships>
</file>

<file path=word/_rels/footnotes.xml.rels><?xml version="1.0" encoding="UTF-8"?><Relationships xmlns="http://schemas.openxmlformats.org/package/2006/relationships"><Relationship Type="http://schemas.openxmlformats.org/officeDocument/2006/relationships/hyperlink" Id="rId152" Target="https://designsystem.digital.gov/design-tokens/color/overview/" TargetMode="External" /><Relationship Type="http://schemas.openxmlformats.org/officeDocument/2006/relationships/hyperlink" Id="rId30" Target="https://designsystem.digital.gov/design-tokens/color/overview/#:~:text=,contrast%20against%20both%20pure%20white" TargetMode="External" /><Relationship Type="http://schemas.openxmlformats.org/officeDocument/2006/relationships/hyperlink" Id="rId21" Target="https://designsystem.digital.gov/design-tokens/color/overview/#:~:text=Section%20508%2C%20which%20aligns%20with,bold%20or%2024px%2B%20normal%20text" TargetMode="External" /><Relationship Type="http://schemas.openxmlformats.org/officeDocument/2006/relationships/hyperlink" Id="rId24" Target="https://designsystem.digital.gov/design-tokens/color/overview/#:~:text=When%20it%20comes%20to%20color%2C,consider%20these%20general%20guidelines" TargetMode="External" /><Relationship Type="http://schemas.openxmlformats.org/officeDocument/2006/relationships/hyperlink" Id="rId33" Target="https://designsystem.digital.gov/design-tokens/color/overview/#:~:text=that%20message,message%20without%20relying%20on%20color" TargetMode="External" /><Relationship Type="http://schemas.openxmlformats.org/officeDocument/2006/relationships/hyperlink" Id="rId153" Target="https://pegasusdesignsystem.com/design-system-foundations-design-tokens/" TargetMode="External" /><Relationship Type="http://schemas.openxmlformats.org/officeDocument/2006/relationships/hyperlink" Id="rId22" Target="https://pegasusdesignsystem.com/design-system-foundations-design-tokens/#:~:text=Design%20Tokens%20are%20the%20smallest%2C,across%20different%20platforms%20and%20produ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2026-06-25T00:37:33Z</dcterms:created>
  <dcterms:modified xsi:type="dcterms:W3CDTF">2026-06-25T00:37:33Z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