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Expense Report</w:t>
      </w:r>
    </w:p>
    <w:p>
      <w:r>
        <w:t>This document summarizes departmental spending for the quarter. The table below breaks costs down by category and department.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Amount (USD)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Cloud Infra</w:t>
            </w:r>
          </w:p>
        </w:tc>
        <w:tc>
          <w:tcPr>
            <w:tcW w:type="dxa" w:w="2880"/>
          </w:tcPr>
          <w:p>
            <w:r>
              <w:t>12,400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Software Licenses</w:t>
            </w:r>
          </w:p>
        </w:tc>
        <w:tc>
          <w:tcPr>
            <w:tcW w:type="dxa" w:w="2880"/>
          </w:tcPr>
          <w:p>
            <w:r>
              <w:t>3,200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Ad Spend</w:t>
            </w:r>
          </w:p>
        </w:tc>
        <w:tc>
          <w:tcPr>
            <w:tcW w:type="dxa" w:w="2880"/>
          </w:tcPr>
          <w:p>
            <w:r>
              <w:t>8,750</w:t>
            </w:r>
          </w:p>
        </w:tc>
      </w:tr>
    </w:tbl>
    <w:p>
      <w:r>
        <w:t>End of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