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rPr>
          <w:b/>
          <w:color w:val="002060"/>
          <w:sz w:val="40"/>
        </w:rPr>
        <w:t>RENT AGREEMENT</w:t>
      </w:r>
    </w:p>
    <w:p>
      <w:pPr>
        <w:spacing w:before="200" w:after="160"/>
        <w:jc w:val="center"/>
      </w:pPr>
      <w:r>
        <w:rPr>
          <w:b/>
          <w:color w:val="002060"/>
          <w:sz w:val="26"/>
        </w:rPr>
        <w:t>(For a term not exceeding 11 months — exempt from compulsory registration under Section 17(1)(d) read with Section 17(2)(v) of the Registration Act, 1908)</w:t>
      </w:r>
    </w:p>
    <w:p/>
    <w:p>
      <w:pPr>
        <w:spacing w:before="240" w:after="80"/>
        <w:pBdr>
          <w:bottom w:val="single" w:sz="6" w:space="1" w:color="002060"/>
        </w:pBdr>
      </w:pPr>
      <w:r>
        <w:rPr>
          <w:b/>
          <w:color w:val="002060"/>
          <w:sz w:val="25"/>
        </w:rPr>
        <w:t>STAMP DUTY &amp; REGISTRATION PARTICULARS</w:t>
      </w:r>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Instrument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Rent Agreement (Leave &amp; Licence for a term not exceeding 11 months)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State of Execution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{{STATE_OF_EXECUTION}}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Article under Schedule I-A / I of Indian Stamp Act, 1899 (as applicable to 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{{STAMP_ARTICLE_NO}}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Basis of Stamp Duty</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Calculated on the basis of total rent payable for the term plus security deposit, as per the applicable Article of the Stamp Act of the State of execution (typically 0.25%–1% of total rent and deposit).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Duty Paid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{{STAMP_DUTY_AMOUNT_INR}} (Rupees {{STAMP_DUTY_WORDS}} only)</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Mode of Stamp Duty Payment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{{STAMP_DUTY_MODE}} (Non-judicial Stamp Paper / e-Stamp Certificate / Franking / e-Challan)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Stamp Paper / e-Stamp Certificate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{{STAMP_CERTIFICATE_NO}}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Date of Stamp Paper / e-Stamp Issuance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{{STAMP_CERTIFICATE_DATE}}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Status under Section 17 / 18 of the Registration Act, 1908</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OPTIONAL — A lease for a term not exceeding 11 months is exempt from compulsory registration; however, notarisation and registration are recommended in States like Maharashtra where the Maharashtra Rent Control Act, 1999 and Section 55 of the Maharashtra Rent Control Act mandate registration of leave-and-licence agreements.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Office of the Sub-Registrar of Assurances</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{{SUB_REGISTRAR_OFFICE}}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Registration Fee (₹)</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{{REGISTRATION_FEE_INR}} (typically 1% of consideration / market value, subject to cap as per State Rules)</w:t>
            </w:r>
          </w:p>
        </w:tc>
      </w:tr>
    </w:tbl>
    <w:p/>
    <w:p>
      <w:pPr>
        <w:jc w:val="both"/>
      </w:pPr>
      <w:r>
        <w:rPr>
          <w:b w:val="0"/>
          <w:i/>
          <w:sz w:val="19"/>
        </w:rPr>
        <w:t>NOTE ON STAMP DUTY: Stamp duty rates are State-specific and vary from State to State. The amounts indicated above must be computed in accordance with the prevailing Stamp Act of the State where the property is situated, taking into account (a) the market value / circle rate (Ready Reckoner / Guidance Value) of the Property; (b) any concessional rates available (e.g., for women buyers, blood relatives in gift, partition amongst family); (c) surcharge / cess applicable (e.g., metro cess, women welfare cess); and (d) any amnesty schemes in force. Insufficient stamping renders the instrument inadmissible in evidence under Section 35 of the Indian Stamp Act, 1899, save on payment of deficient stamp duty + penalty of up to 10 times.</w:t>
      </w:r>
    </w:p>
    <w:p/>
    <w:p>
      <w:pPr>
        <w:jc w:val="both"/>
      </w:pPr>
      <w:r>
        <w:rPr>
          <w:b w:val="0"/>
          <w:i w:val="0"/>
        </w:rPr>
        <w:t>THIS DEED OF RENT / LEAVE &amp; LICENCE (this “Deed”) is made and executed at {{EXECUTION_PLACE}} on this {{EXECUTION_DAY}} day of {{EXECUTION_MONTH}}, {{EXECUTION_YEAR}}</w:t>
      </w:r>
    </w:p>
    <w:p/>
    <w:p>
      <w:pPr>
        <w:jc w:val="both"/>
      </w:pPr>
      <w:r>
        <w:rPr>
          <w:b/>
          <w:i w:val="0"/>
        </w:rPr>
        <w:t>BY AND BETWEEN</w:t>
      </w:r>
    </w:p>
    <w:p>
      <w:pPr>
        <w:jc w:val="both"/>
      </w:pPr>
      <w:r>
        <w:rPr>
          <w:b/>
        </w:rPr>
        <w:t xml:space="preserve">{{LICENSOR_NAME}}, </w:t>
      </w:r>
      <w:r>
        <w:t>aged about {{LICENSOR_AGE}} years, S/o / D/o / W/o {{LICENSOR_PARENT_NAME}}, by faith {{LICENSOR_RELIGION}}, by nationality Indian, by occupation {{LICENSOR_OCCUPATION}}, holding PAN {{LICENSOR_PAN}} and Aadhaar No. (last 4 digits) XXXX-XXXX-{{LICENSOR_AADHAAR_LAST4}}, permanent resident of and presently residing at {{LICENSOR_ADDRESS}} (hereinafter referred to as the “LICENSOR”, which expression shall, unless repugnant to the context or meaning thereof, mean and include his / her / their heirs, executors, administrators, legal representatives, successors and permitted assigns), of the OF THE FIRST PART;</w:t>
      </w:r>
    </w:p>
    <w:p/>
    <w:p>
      <w:pPr>
        <w:jc w:val="center"/>
      </w:pPr>
      <w:r>
        <w:rPr>
          <w:b/>
        </w:rPr>
        <w:t>AND</w:t>
      </w:r>
    </w:p>
    <w:p/>
    <w:p>
      <w:pPr>
        <w:jc w:val="both"/>
      </w:pPr>
      <w:r>
        <w:rPr>
          <w:b/>
        </w:rPr>
        <w:t xml:space="preserve">{{LICENSEE_NAME}}, </w:t>
      </w:r>
      <w:r>
        <w:t>aged about {{LICENSEE_AGE}} years, S/o / D/o / W/o {{LICENSEE_PARENT_NAME}}, by faith {{LICENSEE_RELIGION}}, by nationality Indian, by occupation {{LICENSEE_OCCUPATION}}, holding PAN {{LICENSEE_PAN}} and Aadhaar No. (last 4 digits) XXXX-XXXX-{{LICENSEE_AADHAAR_LAST4}}, permanent resident of and presently residing at {{LICENSEE_ADDRESS}} (hereinafter referred to as the “LICENSEE”, which expression shall, unless repugnant to the context or meaning thereof, mean and include his / her / their heirs, executors, administrators, legal representatives, successors and permitted assigns), of the OF THE SECOND PART;</w:t>
      </w:r>
    </w:p>
    <w:p/>
    <w:p>
      <w:pPr>
        <w:jc w:val="both"/>
      </w:pPr>
      <w:r>
        <w:rPr>
          <w:b w:val="0"/>
          <w:i w:val="0"/>
        </w:rPr>
        <w:t>The Licensor and the Licensee are hereinafter individually referred to as a “Party” and collectively as the “Parties”.</w:t>
      </w:r>
    </w:p>
    <w:p/>
    <w:p>
      <w:pPr>
        <w:jc w:val="both"/>
      </w:pPr>
      <w:r>
        <w:rPr>
          <w:b/>
          <w:i w:val="0"/>
        </w:rPr>
        <w:t>WHEREAS:</w:t>
      </w:r>
    </w:p>
    <w:p/>
    <w:p>
      <w:pPr>
        <w:jc w:val="both"/>
      </w:pPr>
      <w:r>
        <w:rPr>
          <w:b/>
        </w:rPr>
        <w:t xml:space="preserve">(A)  </w:t>
      </w:r>
      <w:r>
        <w:t>the Licensor is the absolute and lawful owner of, and is well and sufficiently entitled to, the residential / commercial premises more particularly described in Schedule A hereto (the “Licensed Premises”);</w:t>
      </w:r>
    </w:p>
    <w:p>
      <w:pPr>
        <w:jc w:val="both"/>
      </w:pPr>
      <w:r>
        <w:rPr>
          <w:b/>
        </w:rPr>
        <w:t xml:space="preserve">(B)  </w:t>
      </w:r>
      <w:r>
        <w:t>the Licensor has full authority and right to grant the leave and licence of the Licensed Premises on the terms and conditions set out hereunder, and there are no restrictions in law or otherwise that prevent such grant;</w:t>
      </w:r>
    </w:p>
    <w:p>
      <w:pPr>
        <w:jc w:val="both"/>
      </w:pPr>
      <w:r>
        <w:rPr>
          <w:b/>
        </w:rPr>
        <w:t xml:space="preserve">(C)  </w:t>
      </w:r>
      <w:r>
        <w:t>the Licensee has approached the Licensor for the grant of a leave and licence to use and occupy the Licensed Premises for the purpose of {{PERMITTED_USE}}, and the Licensor has agreed to grant the same on the terms and conditions set out hereinbelow;</w:t>
      </w:r>
    </w:p>
    <w:p>
      <w:pPr>
        <w:jc w:val="both"/>
      </w:pPr>
      <w:r>
        <w:rPr>
          <w:b/>
        </w:rPr>
        <w:t xml:space="preserve">(D)  </w:t>
      </w:r>
      <w:r>
        <w:t>the Parties intend to record their mutual understanding and agreement on the terms and conditions of the leave and licence by this Agreement, this being merely a personal permissive licence within the meaning of Section 52 of the Indian Easements Act, 1882, and does not create any tenancy, leasehold or any other interest in the Licensed Premises in favour of the Licensee.</w:t>
      </w:r>
    </w:p>
    <w:p/>
    <w:p>
      <w:pPr>
        <w:jc w:val="both"/>
      </w:pPr>
      <w:r>
        <w:rPr>
          <w:b/>
          <w:i w:val="0"/>
        </w:rPr>
        <w:t>NOW, THEREFORE, in consideration of the mutual covenants, agreements, representations and warranties set out herein, and the consideration recited above, and intending to be legally bound hereby, the Parties have agreed as follows and this Deed WITNESSETH AS UNDER:</w:t>
      </w:r>
    </w:p>
    <w:p/>
    <w:p>
      <w:pPr>
        <w:spacing w:before="80"/>
        <w:jc w:val="both"/>
      </w:pPr>
      <w:r>
        <w:rPr>
          <w:b/>
        </w:rPr>
        <w:t xml:space="preserve">1. </w:t>
      </w:r>
      <w:r>
        <w:rPr>
          <w:b/>
        </w:rPr>
        <w:t xml:space="preserve">GRANT OF LEAVE AND LICENCE. </w:t>
      </w:r>
      <w:r>
        <w:t>In consideration of the licence fee, security deposit and covenants set out herein, the Licensor hereby grants to the Licensee a personal, non-transferable, non-assignable and non-exclusive leave and licence to use and occupy the Licensed Premises for the period and on the terms and conditions set out herein. The Parties expressly confirm that this Agreement is a personal licence under Section 52 of the Indian Easements Act, 1882 and shall NOT be construed as creating any lease, tenancy, sub-tenancy, monthly tenancy or any interest in the immovable property in favour of the Licensee, and the Licensor shall continue to remain in juridical possession of the Licensed Premises at all times.</w:t>
      </w:r>
    </w:p>
    <w:p>
      <w:pPr>
        <w:spacing w:before="80"/>
        <w:jc w:val="both"/>
      </w:pPr>
      <w:r>
        <w:rPr>
          <w:b/>
        </w:rPr>
        <w:t xml:space="preserve">2. </w:t>
      </w:r>
      <w:r>
        <w:rPr>
          <w:b/>
        </w:rPr>
        <w:t xml:space="preserve">TERM. </w:t>
      </w:r>
      <w:r>
        <w:t>The term of this Agreement shall be {{LICENCE_TERM_MONTHS}} months commencing from {{LICENCE_START_DATE}} and expiring on {{LICENCE_END_DATE}}, both days inclusive (the “Term”). The Term shall in no event exceed 11 (eleven) months. Upon expiry of the Term, the Licensee shall vacate the Licensed Premises without any further notice or demand from the Licensor. Any holding over by the Licensee beyond the Term shall be treated as unauthorised occupation, entitling the Licensor to compensation at three times the monthly licence fee from the date of expiry until vacation.</w:t>
      </w:r>
    </w:p>
    <w:p>
      <w:pPr>
        <w:spacing w:before="80"/>
        <w:jc w:val="both"/>
      </w:pPr>
      <w:r>
        <w:rPr>
          <w:b/>
        </w:rPr>
        <w:t xml:space="preserve">3. </w:t>
      </w:r>
      <w:r>
        <w:rPr>
          <w:b/>
        </w:rPr>
        <w:t xml:space="preserve">LICENCE FEE / RENT. </w:t>
      </w:r>
      <w:r>
        <w:t>The Licensee shall pay to the Licensor a monthly licence fee / rent of ₹ {{MONTHLY_RENT_INR}} (Rupees {{MONTHLY_RENT_WORDS}} only), payable in advance on or before the {{RENT_DUE_DAY}}th day of every English calendar month, by way of NEFT / RTGS / IMPS / UPI transfer to the bank account of the Licensor, particulars of which are: Bank: {{LICENSOR_BANK_NAME}}, A/c: {{LICENSOR_BANK_ACCOUNT}}, IFSC: {{LICENSOR_BANK_IFSC}}.</w:t>
      </w:r>
    </w:p>
    <w:p>
      <w:pPr>
        <w:spacing w:before="40"/>
        <w:ind w:left="454"/>
        <w:jc w:val="both"/>
      </w:pPr>
      <w:r>
        <w:rPr>
          <w:b/>
        </w:rPr>
        <w:t xml:space="preserve">3.1 </w:t>
      </w:r>
      <w:r>
        <w:t>TDS — Where the rent paid by an Individual / HUF Licensee exceeds ₹50,000 per month, the Licensee shall deduct TDS at 5% under Section 194-IB of the Income-tax Act, 1961 in the last month of the financial year / term, and deposit the same with the Government using Form 26QC. In all other cases, TDS at 10% applies under Section 194-I if the annual rent exceeds the threshold.</w:t>
      </w:r>
    </w:p>
    <w:p>
      <w:pPr>
        <w:spacing w:before="40"/>
        <w:ind w:left="454"/>
        <w:jc w:val="both"/>
      </w:pPr>
      <w:r>
        <w:rPr>
          <w:b/>
        </w:rPr>
        <w:t xml:space="preserve">3.2 </w:t>
      </w:r>
      <w:r>
        <w:t>GST — Where the Licensee is a business entity and the Licensed Premises are for non-residential use, GST at 18% under reverse charge / forward charge (as applicable) shall be discharged in accordance with the CGST Act, 2017 and the relevant notifications.</w:t>
      </w:r>
    </w:p>
    <w:p>
      <w:pPr>
        <w:spacing w:before="40"/>
        <w:ind w:left="454"/>
        <w:jc w:val="both"/>
      </w:pPr>
      <w:r>
        <w:rPr>
          <w:b/>
        </w:rPr>
        <w:t xml:space="preserve">3.3 </w:t>
      </w:r>
      <w:r>
        <w:t>ESCALATION — The licence fee shall be escalated by {{ESCALATION_PERCENT}}% on each renewal / extension of this Agreement.</w:t>
      </w:r>
    </w:p>
    <w:p>
      <w:pPr>
        <w:spacing w:before="80"/>
        <w:jc w:val="both"/>
      </w:pPr>
      <w:r>
        <w:rPr>
          <w:b/>
        </w:rPr>
        <w:t xml:space="preserve">4. </w:t>
      </w:r>
      <w:r>
        <w:rPr>
          <w:b/>
        </w:rPr>
        <w:t xml:space="preserve">INTEREST-FREE SECURITY DEPOSIT. </w:t>
      </w:r>
      <w:r>
        <w:t>On or before the execution of this Agreement, the Licensee has paid / shall pay to the Licensor an interest-free refundable security deposit of ₹ {{SECURITY_DEPOSIT_INR}} (Rupees {{SECURITY_DEPOSIT_WORDS}} only), equivalent to {{SECURITY_DEPOSIT_MONTHS}} months’ licence fee. The said deposit shall be returned by the Licensor to the Licensee at the time of handover of vacant possession on or before the expiry / earlier termination of this Agreement, after deducting (a) arrears of licence fee; (b) utility bills outstanding; (c) cost of damages (other than normal wear and tear); and (d) any other amount due from the Licensee.</w:t>
      </w:r>
    </w:p>
    <w:p>
      <w:pPr>
        <w:spacing w:before="80"/>
        <w:jc w:val="both"/>
      </w:pPr>
      <w:r>
        <w:rPr>
          <w:b/>
        </w:rPr>
        <w:t xml:space="preserve">5. </w:t>
      </w:r>
      <w:r>
        <w:rPr>
          <w:b/>
        </w:rPr>
        <w:t xml:space="preserve">MAINTENANCE, UTILITIES AND OUTGOINGS. </w:t>
      </w:r>
      <w:r>
        <w:t>Without prejudice to the licence fee, the Licensee shall pay (a) the actual electricity charges as per the consumption based on the sub-meter reading; (b) actual water charges; (c) actual gas / piped LPG charges; (d) Internet / DTH / OTT charges; (e) any user charges for the use of common facilities; and (f) any other variable utility charges directly used and consumed by the Licensee. The Licensor shall continue to pay (i) the property tax / municipal tax; (ii) society maintenance charges; (iii) any non-occupancy charges; (iv) major structural repairs; and (v) the cost of any common-area infrastructure.</w:t>
      </w:r>
    </w:p>
    <w:p>
      <w:pPr>
        <w:spacing w:before="80"/>
        <w:jc w:val="both"/>
      </w:pPr>
      <w:r>
        <w:rPr>
          <w:b/>
        </w:rPr>
        <w:t xml:space="preserve">6. </w:t>
      </w:r>
      <w:r>
        <w:rPr>
          <w:b/>
        </w:rPr>
        <w:t xml:space="preserve">PERMITTED USE. </w:t>
      </w:r>
      <w:r>
        <w:t>The Licensee shall use the Licensed Premises strictly and exclusively for {{PERMITTED_USE}} (e.g., residential use for self and family / specified office use) and shall not use the Licensed Premises for any other purpose, including any unlawful, immoral, hazardous, offensive, illegal or prohibited use, or for storage of any goods that may attract the operation of any law relating to fire, hazardous substances, narcotics or arms.</w:t>
      </w:r>
    </w:p>
    <w:p>
      <w:pPr>
        <w:spacing w:before="80"/>
        <w:jc w:val="both"/>
      </w:pPr>
      <w:r>
        <w:rPr>
          <w:b/>
        </w:rPr>
        <w:t xml:space="preserve">7. </w:t>
      </w:r>
      <w:r>
        <w:rPr>
          <w:b/>
        </w:rPr>
        <w:t xml:space="preserve">PROHIBITED ACTS BY LICENSEE. </w:t>
      </w:r>
      <w:r>
        <w:t>The Licensee shall not, without the prior written consent of the Licensor:</w:t>
      </w:r>
    </w:p>
    <w:p>
      <w:pPr>
        <w:spacing w:before="40"/>
        <w:ind w:left="454"/>
        <w:jc w:val="both"/>
      </w:pPr>
      <w:r>
        <w:rPr>
          <w:b/>
        </w:rPr>
        <w:t xml:space="preserve">7.1 </w:t>
      </w:r>
      <w:r>
        <w:t>sub-let, transfer, assign, mortgage, charge, license, part with possession of, or create any third-party rights in respect of, the Licensed Premises or any part thereof;</w:t>
      </w:r>
    </w:p>
    <w:p>
      <w:pPr>
        <w:spacing w:before="40"/>
        <w:ind w:left="454"/>
        <w:jc w:val="both"/>
      </w:pPr>
      <w:r>
        <w:rPr>
          <w:b/>
        </w:rPr>
        <w:t xml:space="preserve">7.2 </w:t>
      </w:r>
      <w:r>
        <w:t>make any structural changes, alterations, additions or modifications to the Licensed Premises (including drilling, knocking down or partitioning of walls);</w:t>
      </w:r>
    </w:p>
    <w:p>
      <w:pPr>
        <w:spacing w:before="40"/>
        <w:ind w:left="454"/>
        <w:jc w:val="both"/>
      </w:pPr>
      <w:r>
        <w:rPr>
          <w:b/>
        </w:rPr>
        <w:t xml:space="preserve">7.3 </w:t>
      </w:r>
      <w:r>
        <w:t>use the Licensed Premises in violation of any building bye-laws, society rules, fire safety regulations, or any law for the time being in force;</w:t>
      </w:r>
    </w:p>
    <w:p>
      <w:pPr>
        <w:spacing w:before="40"/>
        <w:ind w:left="454"/>
        <w:jc w:val="both"/>
      </w:pPr>
      <w:r>
        <w:rPr>
          <w:b/>
        </w:rPr>
        <w:t xml:space="preserve">7.4 </w:t>
      </w:r>
      <w:r>
        <w:t>keep any pets or animals (unless expressly permitted in writing);</w:t>
      </w:r>
    </w:p>
    <w:p>
      <w:pPr>
        <w:spacing w:before="40"/>
        <w:ind w:left="454"/>
        <w:jc w:val="both"/>
      </w:pPr>
      <w:r>
        <w:rPr>
          <w:b/>
        </w:rPr>
        <w:t xml:space="preserve">7.5 </w:t>
      </w:r>
      <w:r>
        <w:t>carry on any business / commercial activity from the Licensed Premises (if let for residential purpose);</w:t>
      </w:r>
    </w:p>
    <w:p>
      <w:pPr>
        <w:spacing w:before="40"/>
        <w:ind w:left="454"/>
        <w:jc w:val="both"/>
      </w:pPr>
      <w:r>
        <w:rPr>
          <w:b/>
        </w:rPr>
        <w:t xml:space="preserve">7.6 </w:t>
      </w:r>
      <w:r>
        <w:t>store any inflammable, explosive, hazardous, illegal or prohibited substances;</w:t>
      </w:r>
    </w:p>
    <w:p>
      <w:pPr>
        <w:spacing w:before="40"/>
        <w:ind w:left="454"/>
        <w:jc w:val="both"/>
      </w:pPr>
      <w:r>
        <w:rPr>
          <w:b/>
        </w:rPr>
        <w:t xml:space="preserve">7.7 </w:t>
      </w:r>
      <w:r>
        <w:t>cause any nuisance or annoyance to neighbours or to the Licensor;</w:t>
      </w:r>
    </w:p>
    <w:p>
      <w:pPr>
        <w:spacing w:before="40"/>
        <w:ind w:left="454"/>
        <w:jc w:val="both"/>
      </w:pPr>
      <w:r>
        <w:rPr>
          <w:b/>
        </w:rPr>
        <w:t xml:space="preserve">7.8 </w:t>
      </w:r>
      <w:r>
        <w:t>violate the terms of any housing society bye-laws / association rules applicable to the Licensed Premises.</w:t>
      </w:r>
    </w:p>
    <w:p>
      <w:pPr>
        <w:spacing w:before="80"/>
        <w:jc w:val="both"/>
      </w:pPr>
      <w:r>
        <w:rPr>
          <w:b/>
        </w:rPr>
        <w:t xml:space="preserve">8. </w:t>
      </w:r>
      <w:r>
        <w:rPr>
          <w:b/>
        </w:rPr>
        <w:t xml:space="preserve">INVENTORY &amp; CONDITION. </w:t>
      </w:r>
      <w:r>
        <w:t>The Licensee acknowledges that the Licensed Premises and all fixtures, fittings, furniture and appliances (as listed in the Inventory at Schedule D) are in good and tenantable condition as on the date of handover. The Licensee shall maintain the same in such condition and shall, on the expiry / earlier termination of this Agreement, return the same in the same condition, normal wear and tear excepted.</w:t>
      </w:r>
    </w:p>
    <w:p>
      <w:pPr>
        <w:spacing w:before="80"/>
        <w:jc w:val="both"/>
      </w:pPr>
      <w:r>
        <w:rPr>
          <w:b/>
        </w:rPr>
        <w:t xml:space="preserve">9. </w:t>
      </w:r>
      <w:r>
        <w:rPr>
          <w:b/>
        </w:rPr>
        <w:t xml:space="preserve">RIGHT OF ENTRY. </w:t>
      </w:r>
      <w:r>
        <w:t>The Licensor and its authorised representatives shall be entitled, upon 24 hours’ prior written notice (save in case of emergency), to enter and inspect the Licensed Premises during reasonable hours, and to carry out necessary repairs, maintenance, structural work, or to show the Licensed Premises to prospective licensees / purchasers during the last 2 months of the Term.</w:t>
      </w:r>
    </w:p>
    <w:p>
      <w:pPr>
        <w:spacing w:before="80"/>
        <w:jc w:val="both"/>
      </w:pPr>
      <w:r>
        <w:rPr>
          <w:b/>
        </w:rPr>
        <w:t xml:space="preserve">10. </w:t>
      </w:r>
      <w:r>
        <w:rPr>
          <w:b/>
        </w:rPr>
        <w:t xml:space="preserve">TERMINATION. </w:t>
      </w:r>
      <w:r>
        <w:t>Notwithstanding the Term, this Agreement may be terminated:</w:t>
      </w:r>
    </w:p>
    <w:p>
      <w:pPr>
        <w:spacing w:before="40"/>
        <w:ind w:left="454"/>
        <w:jc w:val="both"/>
      </w:pPr>
      <w:r>
        <w:rPr>
          <w:b/>
        </w:rPr>
        <w:t xml:space="preserve">10.1 </w:t>
      </w:r>
      <w:r>
        <w:t>by either Party giving the other Party {{NOTICE_PERIOD_MONTHS}} months’ prior written notice of termination (the “Notice Period”); the Notice Period may be paid for in lieu thereof;</w:t>
      </w:r>
    </w:p>
    <w:p>
      <w:pPr>
        <w:spacing w:before="40"/>
        <w:ind w:left="454"/>
        <w:jc w:val="both"/>
      </w:pPr>
      <w:r>
        <w:rPr>
          <w:b/>
        </w:rPr>
        <w:t xml:space="preserve">10.2 </w:t>
      </w:r>
      <w:r>
        <w:t>by the Licensor with immediate effect, on the happening of any of the following events: (a) failure of the Licensee to pay the licence fee for 2 (two) consecutive months; (b) breach of any material covenant herein; (c) sub-letting or parting with possession; (d) use of the Licensed Premises for any unlawful / prohibited purpose; (e) breach of fire safety / building bye-laws;</w:t>
      </w:r>
    </w:p>
    <w:p>
      <w:pPr>
        <w:spacing w:before="40"/>
        <w:ind w:left="454"/>
        <w:jc w:val="both"/>
      </w:pPr>
      <w:r>
        <w:rPr>
          <w:b/>
        </w:rPr>
        <w:t xml:space="preserve">10.3 </w:t>
      </w:r>
      <w:r>
        <w:t>by the Licensee, with immediate effect, in case the Licensed Premises become wholly or substantially uninhabitable owing to fire, flood, structural failure, or any force majeure event for more than 30 days.</w:t>
      </w:r>
    </w:p>
    <w:p>
      <w:pPr>
        <w:spacing w:before="80"/>
        <w:jc w:val="both"/>
      </w:pPr>
      <w:r>
        <w:rPr>
          <w:b/>
        </w:rPr>
        <w:t xml:space="preserve">11. </w:t>
      </w:r>
      <w:r>
        <w:rPr>
          <w:b/>
        </w:rPr>
        <w:t xml:space="preserve">LOCK-IN PERIOD. </w:t>
      </w:r>
      <w:r>
        <w:t>Notwithstanding the termination clause above, the Parties agree to a lock-in period of {{LOCKIN_MONTHS}} months from the commencement of the Term, during which neither Party shall terminate this Agreement (save for default by the other Party). Any termination during the lock-in period shall require the terminating Party to pay licence fees for the unexpired lock-in period.</w:t>
      </w:r>
    </w:p>
    <w:p>
      <w:pPr>
        <w:spacing w:before="80"/>
        <w:jc w:val="both"/>
      </w:pPr>
      <w:r>
        <w:rPr>
          <w:b/>
        </w:rPr>
        <w:t xml:space="preserve">12. </w:t>
      </w:r>
      <w:r>
        <w:rPr>
          <w:b/>
        </w:rPr>
        <w:t xml:space="preserve">HANDOVER ON EXPIRY. </w:t>
      </w:r>
      <w:r>
        <w:t>On expiry / earlier termination of this Agreement, the Licensee shall (a) peacefully and quietly hand over vacant, unobstructed and unencumbered possession of the Licensed Premises to the Licensor on the last day of the Term; (b) clear all outstanding utility bills and obtain ‘no-dues’ from the electricity provider, gas provider, internet provider and others; (c) hand over all keys, access cards, fobs and remotes; (d) hand over the inventory in good condition; and (e) execute a handover certificate.</w:t>
      </w:r>
    </w:p>
    <w:p>
      <w:pPr>
        <w:spacing w:before="80"/>
        <w:jc w:val="both"/>
      </w:pPr>
      <w:r>
        <w:rPr>
          <w:b/>
        </w:rPr>
        <w:t xml:space="preserve">13. </w:t>
      </w:r>
      <w:r>
        <w:rPr>
          <w:b/>
        </w:rPr>
        <w:t xml:space="preserve">POLICE VERIFICATION. </w:t>
      </w:r>
      <w:r>
        <w:t>The Licensee shall, within 7 days of taking possession, submit the prescribed tenant verification form to the local police station along with a copy of this Agreement and identity / address proofs, in compliance with the directives issued by the State / police authorities under the relevant circulars.</w:t>
      </w:r>
    </w:p>
    <w:p>
      <w:pPr>
        <w:spacing w:before="80"/>
        <w:jc w:val="both"/>
      </w:pPr>
      <w:r>
        <w:rPr>
          <w:b/>
        </w:rPr>
        <w:t xml:space="preserve">14. </w:t>
      </w:r>
      <w:r>
        <w:rPr>
          <w:b/>
        </w:rPr>
        <w:t xml:space="preserve">AADHAAR CONSENT / KYC. </w:t>
      </w:r>
      <w:r>
        <w:t>Each Party has voluntarily disclosed the last 4 digits of its Aadhaar number, PAN, identity proof and address proof, with the consent of the other Party, for the limited purpose of identification and execution of this Agreement, and in accordance with the Digital Personal Data Protection Act, 2023.</w:t>
      </w:r>
    </w:p>
    <w:p>
      <w:pPr>
        <w:spacing w:before="80"/>
        <w:jc w:val="both"/>
      </w:pPr>
      <w:r>
        <w:rPr>
          <w:b/>
        </w:rPr>
        <w:t xml:space="preserve">15. </w:t>
      </w:r>
      <w:r>
        <w:rPr>
          <w:b/>
        </w:rPr>
        <w:t xml:space="preserve">STAMP DUTY. </w:t>
      </w:r>
      <w:r>
        <w:t>The stamp duty payable on this Agreement shall be borne by the {{STAMP_DUTY_BEARER}}. The Agreement shall be executed on non-judicial stamp paper / e-stamp of the requisite value as per the Stamp Act of the State of execution.</w:t>
      </w:r>
    </w:p>
    <w:p>
      <w:pPr>
        <w:spacing w:before="240" w:after="80"/>
        <w:pBdr>
          <w:bottom w:val="single" w:sz="6" w:space="1" w:color="002060"/>
        </w:pBdr>
      </w:pPr>
      <w:r>
        <w:rPr>
          <w:b/>
          <w:color w:val="002060"/>
          <w:sz w:val="25"/>
        </w:rPr>
        <w:t>MISCELLANEOUS PROVISIONS</w:t>
      </w:r>
    </w:p>
    <w:p>
      <w:pPr>
        <w:spacing w:before="160" w:after="60"/>
      </w:pPr>
      <w:r>
        <w:rPr>
          <w:b/>
          <w:color w:val="002060"/>
          <w:sz w:val="23"/>
        </w:rPr>
        <w:t>Governing Law and Jurisdiction</w:t>
      </w:r>
    </w:p>
    <w:p>
      <w:pPr>
        <w:jc w:val="both"/>
      </w:pPr>
      <w:r>
        <w:rPr>
          <w:b w:val="0"/>
          <w:i w:val="0"/>
        </w:rPr>
        <w:t>This Deed shall be governed by and construed in accordance with the laws of India. Subject to the dispute resolution clause below, the courts at {{COURT_JURISDICTION}} shall have exclusive jurisdiction in respect of any matter arising hereunder.</w:t>
      </w:r>
    </w:p>
    <w:p>
      <w:pPr>
        <w:spacing w:before="160" w:after="60"/>
      </w:pPr>
      <w:r>
        <w:rPr>
          <w:b/>
          <w:color w:val="002060"/>
          <w:sz w:val="23"/>
        </w:rPr>
        <w:t>Dispute Resolution and Arbitration</w:t>
      </w:r>
    </w:p>
    <w:p>
      <w:pPr>
        <w:jc w:val="both"/>
      </w:pPr>
      <w:r>
        <w:rPr>
          <w:b w:val="0"/>
          <w:i w:val="0"/>
        </w:rPr>
        <w:t>Any dispute, difference, controversy or claim arising out of or in connection with this Deed, including any question regarding its existence, validity, interpretation, breach or termination, shall first be attempted to be resolved amicably through good-faith negotiations between the Parties for a period of 30 (thirty) days. Failing such resolution, the dispute shall be referred to and finally resolved by arbitration under the Arbitration and Conciliation Act, 1996. The arbitration shall be by a sole arbitrator mutually appointed by the Parties; the seat and venue of arbitration shall be {{ARBITRATION_SEAT}}; and the language of arbitration shall be English. The award shall be final and binding on the Parties.</w:t>
      </w:r>
    </w:p>
    <w:p>
      <w:pPr>
        <w:spacing w:before="160" w:after="60"/>
      </w:pPr>
      <w:r>
        <w:rPr>
          <w:b/>
          <w:color w:val="002060"/>
          <w:sz w:val="23"/>
        </w:rPr>
        <w:t>Entire Agreement &amp; Amendment</w:t>
      </w:r>
    </w:p>
    <w:p>
      <w:pPr>
        <w:jc w:val="both"/>
      </w:pPr>
      <w:r>
        <w:rPr>
          <w:b w:val="0"/>
          <w:i w:val="0"/>
        </w:rPr>
        <w:t>This Deed (together with the Schedules and Annexures hereto) constitutes the entire agreement between the Parties with respect to the subject matter hereof and supersedes all prior agreements, understandings, negotiations and correspondence. No amendment or modification of this Deed shall be valid unless made in writing, executed by all Parties and (where required) duly stamped and registered.</w:t>
      </w:r>
    </w:p>
    <w:p>
      <w:pPr>
        <w:spacing w:before="160" w:after="60"/>
      </w:pPr>
      <w:r>
        <w:rPr>
          <w:b/>
          <w:color w:val="002060"/>
          <w:sz w:val="23"/>
        </w:rPr>
        <w:t>Severability</w:t>
      </w:r>
    </w:p>
    <w:p>
      <w:pPr>
        <w:jc w:val="both"/>
      </w:pPr>
      <w:r>
        <w:rPr>
          <w:b w:val="0"/>
          <w:i w:val="0"/>
        </w:rPr>
        <w:t>If any provision of this Deed is held to be invalid, illegal or unenforceable by a court or arbitral tribunal of competent jurisdiction, such provision shall be deemed severable, and the remaining provisions shall continue in full force and effect.</w:t>
      </w:r>
    </w:p>
    <w:p>
      <w:pPr>
        <w:spacing w:before="160" w:after="60"/>
      </w:pPr>
      <w:r>
        <w:rPr>
          <w:b/>
          <w:color w:val="002060"/>
          <w:sz w:val="23"/>
        </w:rPr>
        <w:t>Notices</w:t>
      </w:r>
    </w:p>
    <w:p>
      <w:pPr>
        <w:jc w:val="both"/>
      </w:pPr>
      <w:r>
        <w:rPr>
          <w:b w:val="0"/>
          <w:i w:val="0"/>
        </w:rPr>
        <w:t>All notices, consents, requests, demands and other communications hereunder shall be in writing and shall be delivered (a) personally with acknowledgement; (b) by registered post / speed post / courier with acknowledgement due; or (c) by email to the address / email-id of the Party as set out in this Deed or as subsequently notified in writing.</w:t>
      </w:r>
    </w:p>
    <w:p>
      <w:pPr>
        <w:spacing w:before="160" w:after="60"/>
      </w:pPr>
      <w:r>
        <w:rPr>
          <w:b/>
          <w:color w:val="002060"/>
          <w:sz w:val="23"/>
        </w:rPr>
        <w:t>Counterparts</w:t>
      </w:r>
    </w:p>
    <w:p>
      <w:pPr>
        <w:jc w:val="both"/>
      </w:pPr>
      <w:r>
        <w:rPr>
          <w:b w:val="0"/>
          <w:i w:val="0"/>
        </w:rPr>
        <w:t>This Deed may be executed in any number of counterparts, each of which when executed and delivered shall be an original, and all such counterparts shall together constitute one and the same instrument.</w:t>
      </w:r>
    </w:p>
    <w:p>
      <w:pPr>
        <w:spacing w:before="160" w:after="60"/>
      </w:pPr>
      <w:r>
        <w:rPr>
          <w:b/>
          <w:color w:val="002060"/>
          <w:sz w:val="23"/>
        </w:rPr>
        <w:t>Stamp Duty &amp; Registration</w:t>
      </w:r>
    </w:p>
    <w:p>
      <w:pPr>
        <w:jc w:val="both"/>
      </w:pPr>
      <w:r>
        <w:rPr>
          <w:b w:val="0"/>
          <w:i w:val="0"/>
        </w:rPr>
        <w:t>The stamp duty and registration fee in respect of this Deed shall be borne by the {{STAMP_DUTY_BEARER}} (typically the Transferee / Vendee / Lessee). The Parties shall jointly attend before the Sub-Registrar of Assurances for execution and registration of this Deed within 4 (four) months of execution as required under Section 23 of the Registration Act, 1908, with all necessary identity documents, photographs and biometric attendance.</w:t>
      </w:r>
    </w:p>
    <w:p>
      <w:pPr>
        <w:spacing w:before="160" w:after="60"/>
      </w:pPr>
      <w:r>
        <w:rPr>
          <w:b/>
          <w:color w:val="002060"/>
          <w:sz w:val="23"/>
        </w:rPr>
        <w:t>TDS under Section 194-IA</w:t>
      </w:r>
    </w:p>
    <w:p>
      <w:pPr>
        <w:jc w:val="both"/>
      </w:pPr>
      <w:r>
        <w:rPr>
          <w:b w:val="0"/>
          <w:i w:val="0"/>
        </w:rPr>
        <w:t>Where the consideration for the Property is ₹ 50,00,000 (Rupees Fifty Lakhs) or more, the Transferee shall deduct tax at source at the rate of 1% of the consideration under Section 194-IA of the Income-tax Act, 1961, deposit the same with the Government within the prescribed time, file Form 26QB, and furnish Form 16B to the Transferor. The Transferor shall provide PAN and other necessary particulars.</w:t>
      </w:r>
    </w:p>
    <w:p/>
    <w:p>
      <w:pPr>
        <w:spacing w:before="240" w:after="80"/>
        <w:pBdr>
          <w:bottom w:val="single" w:sz="6" w:space="1" w:color="002060"/>
        </w:pBdr>
      </w:pPr>
      <w:r>
        <w:rPr>
          <w:b/>
          <w:color w:val="002060"/>
          <w:sz w:val="25"/>
        </w:rPr>
        <w:t>SCHEDULE A — DESCRIPTION OF THE LICENSED PREMISES</w:t>
      </w:r>
    </w:p>
    <w:p>
      <w:pPr>
        <w:jc w:val="both"/>
      </w:pPr>
      <w:r>
        <w:rPr>
          <w:b/>
          <w:i w:val="0"/>
        </w:rPr>
        <w:t>Description of all that piece and parcel of immovable property more particularly described hereunder, which is the subject matter of this Deed (the “Property”) and which forms the Schedule of Property referred to in the operative provisions:</w:t>
      </w:r>
    </w:p>
    <w:p/>
    <w:tbl>
      <w:tblPr>
        <w:tblW w:type="auto" w:w="0"/>
        <w:jc w:val="center"/>
        <w:tblLayout w:type="fixed"/>
        <w:tblLook w:firstColumn="1" w:firstRow="1" w:lastColumn="0" w:lastRow="0" w:noHBand="0" w:noVBand="1" w:val="04A0"/>
      </w:tblPr>
      <w:tblGrid>
        <w:gridCol w:w="4873"/>
        <w:gridCol w:w="4873"/>
      </w:tblGrid>
      <w:tr>
        <w:tc>
          <w:tcPr>
            <w:tcW w:type="dxa" w:w="3969"/>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Field</w:t>
            </w:r>
          </w:p>
        </w:tc>
        <w:tc>
          <w:tcPr>
            <w:tcW w:type="dxa" w:w="538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Particulars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Nature of Property</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{{PROPERTY_NATURE}} (e.g., Residential Flat / Independent House / Commercial Office / Plot of Land / Agricultural Land / Industrial Shed)</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Property Address / Postal Description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{{PROPERTY_ADDRESS}}</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Village / Mauza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{{PROPERTY_VILLAGE}}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Hadbast / Khasra / Survey / Hissa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{{PROPERTY_SURVEY_NO}}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Sub-District / Tehsil / Taluka</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{{PROPERTY_TEHSIL}}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District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{{PROPERTY_DISTRICT}}</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State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{{PROPERTY_STATE}}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PIN Code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{{PROPERTY_PIN}}</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 House / Flat / Unit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{{PROPERTY_UNIT_NO}}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Block / Tower / Wing</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{{PROPERTY_BLOCK}}</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Floor</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{{PROPERTY_FLOOR}}</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Project / Building Name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{{PROPERTY_BUILDING_NAME}}</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Land Use / Zoning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{{PROPERTY_LAND_USE}}</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Sub-Registrar / Registration Office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{{PROPERTY_SUB_REGISTRAR}}</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Municipal Corporation / Panchayat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{{PROPERTY_MUNICIPAL}}</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Municipal Property Tax / House Tax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{{PROPERTY_TAX_NO}}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Electricity Connection / Consumer No.</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{{ELECTRICITY_NO}}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Water / Sewerage Connection No.</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{{WATER_NO}}</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RERA Registration No. (if applicable)</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{{PROPERTY_RERA_NO}}</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Area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{{PROPERTY_BUILT_UP_AREA}}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Super Built-up Area (sq. ft. / sq. mt.)</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{{PROPERTY_SUPER_AREA}}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Carpet Area (RERA-compliant) (sq. ft. / sq. mt.)</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{{PROPERTY_CARPET_AREA}}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Plot Area / Land Area (sq. ft. / sq. mt. / acres)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{{PROPERTY_LAND_AREA}}</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Built-up Construction Area (if applicable)</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{{PROPERTY_CONSTRUCTION_AREA}}</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Number of Bedrooms / Bathrooms / Balconies</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{{PROPERTY_ROOM_DETAILS}}</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Parking Spaces (Covered / Open)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{{PROPERTY_PARKING}}</w:t>
            </w:r>
          </w:p>
        </w:tc>
      </w:tr>
      <w:tr>
        <w:tc>
          <w:tcPr>
            <w:tcW w:type="dxa" w:w="3969"/>
            <w:tcBorders>
              <w:top w:val="single" w:sz="4" w:color="808080"/>
              <w:left w:val="single" w:sz="4" w:color="808080"/>
              <w:bottom w:val="single" w:sz="4" w:color="808080"/>
              <w:right w:val="single" w:sz="4" w:color="808080"/>
            </w:tcBorders>
            <w:vAlign w:val="center"/>
          </w:tcPr>
          <w:p>
            <w:pPr>
              <w:jc w:val="left"/>
            </w:pPr>
            <w:r/>
            <w:r>
              <w:rPr>
                <w:b/>
                <w:sz w:val="21"/>
              </w:rPr>
              <w:t>Direction Facing</w:t>
            </w:r>
          </w:p>
        </w:tc>
        <w:tc>
          <w:tcPr>
            <w:tcW w:type="dxa" w:w="5386"/>
            <w:tcBorders>
              <w:top w:val="single" w:sz="4" w:color="808080"/>
              <w:left w:val="single" w:sz="4" w:color="808080"/>
              <w:bottom w:val="single" w:sz="4" w:color="808080"/>
              <w:right w:val="single" w:sz="4" w:color="808080"/>
            </w:tcBorders>
            <w:vAlign w:val="center"/>
          </w:tcPr>
          <w:p>
            <w:pPr>
              <w:jc w:val="left"/>
            </w:pPr>
            <w:r/>
            <w:r>
              <w:rPr>
                <w:sz w:val="21"/>
              </w:rPr>
              <w:t>{{PROPERTY_FACING}}</w:t>
            </w:r>
          </w:p>
        </w:tc>
      </w:tr>
      <w:tr>
        <w:tc>
          <w:tcPr>
            <w:tcW w:type="dxa" w:w="3969"/>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Year of Construction / Possession</w:t>
            </w:r>
          </w:p>
        </w:tc>
        <w:tc>
          <w:tcPr>
            <w:tcW w:type="dxa" w:w="538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{{PROPERTY_YEAR}}</w:t>
            </w:r>
          </w:p>
        </w:tc>
      </w:tr>
    </w:tbl>
    <w:p/>
    <w:p>
      <w:pPr>
        <w:spacing w:before="160" w:after="60"/>
      </w:pPr>
      <w:r>
        <w:rPr>
          <w:b/>
          <w:color w:val="002060"/>
          <w:sz w:val="23"/>
        </w:rPr>
        <w:t>BOUNDARIES OF THE PROPERTY</w:t>
      </w:r>
    </w:p>
    <w:tbl>
      <w:tblPr>
        <w:tblW w:type="auto" w:w="0"/>
        <w:jc w:val="center"/>
        <w:tblLayout w:type="fixed"/>
        <w:tblLook w:firstColumn="1" w:firstRow="1" w:lastColumn="0" w:lastRow="0" w:noHBand="0" w:noVBand="1" w:val="04A0"/>
      </w:tblPr>
      <w:tblGrid>
        <w:gridCol w:w="4873"/>
        <w:gridCol w:w="4873"/>
      </w:tblGrid>
      <w:tr>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Direction</w:t>
            </w:r>
          </w:p>
        </w:tc>
        <w:tc>
          <w:tcPr>
            <w:tcW w:type="dxa" w:w="6236"/>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Boundary / Abutting Property</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East (पूर्व)</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{{PROPERTY_BOUNDARY_EAST}}</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West (पश्चिम)</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{{PROPERTY_BOUNDARY_WEST}}</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 (उत्तर)</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{{PROPERTY_BOUNDARY_NORTH}}</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 (दक्षिण)</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{{PROPERTY_BOUNDARY_SOUTH}}</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North-East (ईशान्य)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{{PROPERTY_BOUNDARY_NE}}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North-West (वायव्य)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{{PROPERTY_BOUNDARY_NW}}</w:t>
            </w:r>
          </w:p>
        </w:tc>
      </w:tr>
      <w:tr>
        <w:tc>
          <w:tcPr>
            <w:tcW w:type="dxa" w:w="3118"/>
            <w:tcBorders>
              <w:top w:val="single" w:sz="4" w:color="808080"/>
              <w:left w:val="single" w:sz="4" w:color="808080"/>
              <w:bottom w:val="single" w:sz="4" w:color="808080"/>
              <w:right w:val="single" w:sz="4" w:color="808080"/>
            </w:tcBorders>
            <w:vAlign w:val="center"/>
          </w:tcPr>
          <w:p>
            <w:pPr>
              <w:jc w:val="left"/>
            </w:pPr>
            <w:r/>
            <w:r>
              <w:rPr>
                <w:b/>
                <w:sz w:val="21"/>
              </w:rPr>
              <w:t>South-East (आग्नेय)</w:t>
            </w:r>
          </w:p>
        </w:tc>
        <w:tc>
          <w:tcPr>
            <w:tcW w:type="dxa" w:w="6236"/>
            <w:tcBorders>
              <w:top w:val="single" w:sz="4" w:color="808080"/>
              <w:left w:val="single" w:sz="4" w:color="808080"/>
              <w:bottom w:val="single" w:sz="4" w:color="808080"/>
              <w:right w:val="single" w:sz="4" w:color="808080"/>
            </w:tcBorders>
            <w:vAlign w:val="center"/>
          </w:tcPr>
          <w:p>
            <w:pPr>
              <w:jc w:val="left"/>
            </w:pPr>
            <w:r/>
            <w:r>
              <w:rPr>
                <w:sz w:val="21"/>
              </w:rPr>
              <w:t>{{PROPERTY_BOUNDARY_SE}}</w:t>
            </w:r>
          </w:p>
        </w:tc>
      </w:tr>
      <w:tr>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South-West (नैऋत्य)</w:t>
            </w:r>
          </w:p>
        </w:tc>
        <w:tc>
          <w:tcPr>
            <w:tcW w:type="dxa" w:w="6236"/>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{{PROPERTY_BOUNDARY_SW}}</w:t>
            </w:r>
          </w:p>
        </w:tc>
      </w:tr>
    </w:tbl>
    <w:p/>
    <w:p>
      <w:pPr>
        <w:jc w:val="both"/>
      </w:pPr>
      <w:r>
        <w:rPr>
          <w:b w:val="0"/>
          <w:i w:val="0"/>
        </w:rPr>
        <w:t>Together with all rights, easements, privileges, appurtenances, fixtures and fittings appertaining or in any way pertaining to the said Property; including, without limitation, rights of way, access, light, air, water, drainage, electricity, common areas and facilities, and an undivided proportionate share in the land underneath / common areas (as applicable).</w:t>
      </w:r>
    </w:p>
    <w:p/>
    <w:p>
      <w:pPr>
        <w:spacing w:before="240" w:after="80"/>
        <w:pBdr>
          <w:bottom w:val="single" w:sz="6" w:space="1" w:color="002060"/>
        </w:pBdr>
      </w:pPr>
      <w:r>
        <w:rPr>
          <w:b/>
          <w:color w:val="002060"/>
          <w:sz w:val="25"/>
        </w:rPr>
        <w:t>SCHEDULE C — PAYMENT SCHEDULE</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Item</w:t>
            </w:r>
          </w:p>
        </w:tc>
        <w:tc>
          <w:tcPr>
            <w:tcW w:type="dxa" w:w="226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Amount (₹)</w:t>
            </w:r>
          </w:p>
        </w:tc>
        <w:tc>
          <w:tcPr>
            <w:tcW w:type="dxa" w:w="255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Due Date / Frequency</w:t>
            </w:r>
          </w:p>
        </w:tc>
        <w:tc>
          <w:tcPr>
            <w:tcW w:type="dxa" w:w="1984"/>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Mode of Payment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Monthly Licence Fee</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{{MONTHLY_RENT_INR}}</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{{RENT_DUE_DAY}}th of each month, in advance</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NEFT / UPI</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Interest-free Security Deposit</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{{SECURITY_DEPOSIT_INR}}</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 before execution</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NEFT</w:t>
            </w:r>
          </w:p>
        </w:tc>
      </w:tr>
      <w:tr>
        <w:tc>
          <w:tcPr>
            <w:tcW w:type="dxa" w:w="2551"/>
            <w:tcBorders>
              <w:top w:val="single" w:sz="4" w:color="808080"/>
              <w:left w:val="single" w:sz="4" w:color="808080"/>
              <w:bottom w:val="single" w:sz="4" w:color="808080"/>
              <w:right w:val="single" w:sz="4" w:color="808080"/>
            </w:tcBorders>
            <w:vAlign w:val="center"/>
          </w:tcPr>
          <w:p>
            <w:pPr>
              <w:jc w:val="left"/>
            </w:pPr>
            <w:r/>
            <w:r>
              <w:rPr>
                <w:b/>
                <w:sz w:val="21"/>
              </w:rPr>
              <w:t>Maintenance Deposit (if any)</w:t>
            </w:r>
          </w:p>
        </w:tc>
        <w:tc>
          <w:tcPr>
            <w:tcW w:type="dxa" w:w="2268"/>
            <w:tcBorders>
              <w:top w:val="single" w:sz="4" w:color="808080"/>
              <w:left w:val="single" w:sz="4" w:color="808080"/>
              <w:bottom w:val="single" w:sz="4" w:color="808080"/>
              <w:right w:val="single" w:sz="4" w:color="808080"/>
            </w:tcBorders>
            <w:vAlign w:val="center"/>
          </w:tcPr>
          <w:p>
            <w:pPr>
              <w:jc w:val="left"/>
            </w:pPr>
            <w:r/>
            <w:r>
              <w:rPr>
                <w:sz w:val="21"/>
              </w:rPr>
              <w:t>{{MAINT_DEPOSIT_INR}}</w:t>
            </w:r>
          </w:p>
        </w:tc>
        <w:tc>
          <w:tcPr>
            <w:tcW w:type="dxa" w:w="2551"/>
            <w:tcBorders>
              <w:top w:val="single" w:sz="4" w:color="808080"/>
              <w:left w:val="single" w:sz="4" w:color="808080"/>
              <w:bottom w:val="single" w:sz="4" w:color="808080"/>
              <w:right w:val="single" w:sz="4" w:color="808080"/>
            </w:tcBorders>
            <w:vAlign w:val="center"/>
          </w:tcPr>
          <w:p>
            <w:pPr>
              <w:jc w:val="left"/>
            </w:pPr>
            <w:r/>
            <w:r>
              <w:rPr>
                <w:sz w:val="21"/>
              </w:rPr>
              <w:t>On / before execution</w:t>
            </w:r>
          </w:p>
        </w:tc>
        <w:tc>
          <w:tcPr>
            <w:tcW w:type="dxa" w:w="1984"/>
            <w:tcBorders>
              <w:top w:val="single" w:sz="4" w:color="808080"/>
              <w:left w:val="single" w:sz="4" w:color="808080"/>
              <w:bottom w:val="single" w:sz="4" w:color="808080"/>
              <w:right w:val="single" w:sz="4" w:color="808080"/>
            </w:tcBorders>
            <w:vAlign w:val="center"/>
          </w:tcPr>
          <w:p>
            <w:pPr>
              <w:jc w:val="left"/>
            </w:pPr>
            <w:r/>
            <w:r>
              <w:rPr>
                <w:sz w:val="21"/>
              </w:rPr>
              <w:t>NEFT</w:t>
            </w:r>
          </w:p>
        </w:tc>
      </w:tr>
      <w:tr>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Escalation on Renewal</w:t>
            </w:r>
          </w:p>
        </w:tc>
        <w:tc>
          <w:tcPr>
            <w:tcW w:type="dxa" w:w="226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{{ESCALATION_PERCENT}}%</w:t>
            </w:r>
          </w:p>
        </w:tc>
        <w:tc>
          <w:tcPr>
            <w:tcW w:type="dxa" w:w="255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On each renewal</w:t>
            </w:r>
          </w:p>
        </w:tc>
        <w:tc>
          <w:tcPr>
            <w:tcW w:type="dxa" w:w="1984"/>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t>
            </w:r>
          </w:p>
        </w:tc>
      </w:tr>
    </w:tbl>
    <w:p/>
    <w:p>
      <w:pPr>
        <w:spacing w:before="240" w:after="80"/>
        <w:pBdr>
          <w:bottom w:val="single" w:sz="6" w:space="1" w:color="002060"/>
        </w:pBdr>
      </w:pPr>
      <w:r>
        <w:rPr>
          <w:b/>
          <w:color w:val="002060"/>
          <w:sz w:val="25"/>
        </w:rPr>
        <w:t>SCHEDULE D — INVENTORY OF FIXTURES &amp; FITTINGS</w:t>
      </w:r>
    </w:p>
    <w:tbl>
      <w:tblPr>
        <w:tblW w:type="auto" w:w="0"/>
        <w:jc w:val="center"/>
        <w:tblLayout w:type="fixed"/>
        <w:tblLook w:firstColumn="1" w:firstRow="1" w:lastColumn="0" w:lastRow="0" w:noHBand="0" w:noVBand="1" w:val="04A0"/>
      </w:tblPr>
      <w:tblGrid>
        <w:gridCol w:w="1949"/>
        <w:gridCol w:w="1949"/>
        <w:gridCol w:w="1949"/>
        <w:gridCol w:w="1949"/>
        <w:gridCol w:w="1949"/>
      </w:tblGrid>
      <w:tr>
        <w:tc>
          <w:tcPr>
            <w:tcW w:type="dxa" w:w="73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S.No.</w:t>
            </w:r>
          </w:p>
        </w:tc>
        <w:tc>
          <w:tcPr>
            <w:tcW w:type="dxa" w:w="3118"/>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Item</w:t>
            </w:r>
          </w:p>
        </w:tc>
        <w:tc>
          <w:tcPr>
            <w:tcW w:type="dxa" w:w="1417"/>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Quantity</w:t>
            </w:r>
          </w:p>
        </w:tc>
        <w:tc>
          <w:tcPr>
            <w:tcW w:type="dxa" w:w="170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Condition</w:t>
            </w:r>
          </w:p>
        </w:tc>
        <w:tc>
          <w:tcPr>
            <w:tcW w:type="dxa" w:w="2381"/>
            <w:shd w:val="clear" w:color="auto" w:fill="002060"/>
            <w:tcBorders>
              <w:top w:val="single" w:sz="4" w:color="808080"/>
              <w:left w:val="single" w:sz="4" w:color="808080"/>
              <w:bottom w:val="single" w:sz="4" w:color="808080"/>
              <w:right w:val="single" w:sz="4" w:color="808080"/>
            </w:tcBorders>
            <w:vAlign w:val="center"/>
          </w:tcPr>
          <w:p>
            <w:pPr>
              <w:jc w:val="center"/>
            </w:pPr>
            <w:r/>
            <w:r>
              <w:rPr>
                <w:b/>
                <w:color w:val="FFFFFF"/>
                <w:sz w:val="21"/>
              </w:rPr>
              <w:t>Remarks</w:t>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1</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Air-conditioner units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{{AC_QTY}}</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{{AC_CONDITION}}</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2</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Ceiling fans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{{FAN_QTY}}</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{{FAN_CONDITION}}</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3</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Light fixtures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{{LIGHT_QTY}}</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{{LIGHT_CONDITION}}</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4</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Geysers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{{GEYSER_QTY}}</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{{GEYSER_CONDITION}}</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5</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Kitchen modular fittings</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{{KITCHEN_QTY}}</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{{KITCHEN_CONDITION}}</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6</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Wardrobes / Cupboards</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{{WARDROBE_QTY}}</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{{WARDROBE_CONDITION}}</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tcPr>
          <w:p>
            <w:pPr>
              <w:jc w:val="left"/>
            </w:pPr>
            <w:r/>
            <w:r>
              <w:rPr>
                <w:b/>
                <w:sz w:val="21"/>
              </w:rPr>
              <w:t>7</w:t>
            </w:r>
          </w:p>
        </w:tc>
        <w:tc>
          <w:tcPr>
            <w:tcW w:type="dxa" w:w="3118"/>
            <w:tcBorders>
              <w:top w:val="single" w:sz="4" w:color="808080"/>
              <w:left w:val="single" w:sz="4" w:color="808080"/>
              <w:bottom w:val="single" w:sz="4" w:color="808080"/>
              <w:right w:val="single" w:sz="4" w:color="808080"/>
            </w:tcBorders>
            <w:vAlign w:val="center"/>
          </w:tcPr>
          <w:p>
            <w:pPr>
              <w:jc w:val="left"/>
            </w:pPr>
            <w:r/>
            <w:r>
              <w:rPr>
                <w:sz w:val="21"/>
              </w:rPr>
              <w:t>Furniture (bed, sofa, dining)</w:t>
            </w:r>
          </w:p>
        </w:tc>
        <w:tc>
          <w:tcPr>
            <w:tcW w:type="dxa" w:w="1417"/>
            <w:tcBorders>
              <w:top w:val="single" w:sz="4" w:color="808080"/>
              <w:left w:val="single" w:sz="4" w:color="808080"/>
              <w:bottom w:val="single" w:sz="4" w:color="808080"/>
              <w:right w:val="single" w:sz="4" w:color="808080"/>
            </w:tcBorders>
            <w:vAlign w:val="center"/>
          </w:tcPr>
          <w:p>
            <w:pPr>
              <w:jc w:val="left"/>
            </w:pPr>
            <w:r/>
            <w:r>
              <w:rPr>
                <w:sz w:val="21"/>
              </w:rPr>
              <w:t>{{FURNITURE_QTY}}</w:t>
            </w:r>
          </w:p>
        </w:tc>
        <w:tc>
          <w:tcPr>
            <w:tcW w:type="dxa" w:w="1701"/>
            <w:tcBorders>
              <w:top w:val="single" w:sz="4" w:color="808080"/>
              <w:left w:val="single" w:sz="4" w:color="808080"/>
              <w:bottom w:val="single" w:sz="4" w:color="808080"/>
              <w:right w:val="single" w:sz="4" w:color="808080"/>
            </w:tcBorders>
            <w:vAlign w:val="center"/>
          </w:tcPr>
          <w:p>
            <w:pPr>
              <w:jc w:val="left"/>
            </w:pPr>
            <w:r/>
            <w:r>
              <w:rPr>
                <w:sz w:val="21"/>
              </w:rPr>
              <w:t>{{FURNITURE_CONDITION}}</w:t>
            </w:r>
          </w:p>
        </w:tc>
        <w:tc>
          <w:tcPr>
            <w:tcW w:type="dxa" w:w="2381"/>
            <w:tcBorders>
              <w:top w:val="single" w:sz="4" w:color="808080"/>
              <w:left w:val="single" w:sz="4" w:color="808080"/>
              <w:bottom w:val="single" w:sz="4" w:color="808080"/>
              <w:right w:val="single" w:sz="4" w:color="808080"/>
            </w:tcBorders>
            <w:vAlign w:val="center"/>
          </w:tcPr>
          <w:p>
            <w:pPr>
              <w:jc w:val="left"/>
            </w:pPr>
            <w:r/>
            <w:r>
              <w:rPr>
                <w:sz w:val="21"/>
              </w:rPr>
            </w:r>
          </w:p>
        </w:tc>
      </w:tr>
      <w:tr>
        <w:tc>
          <w:tcPr>
            <w:tcW w:type="dxa" w:w="737"/>
            <w:tcBorders>
              <w:top w:val="single" w:sz="4" w:color="808080"/>
              <w:left w:val="single" w:sz="4" w:color="808080"/>
              <w:bottom w:val="single" w:sz="4" w:color="808080"/>
              <w:right w:val="single" w:sz="4" w:color="808080"/>
            </w:tcBorders>
            <w:vAlign w:val="center"/>
            <w:shd w:val="clear" w:color="auto" w:fill="F2F2F2"/>
          </w:tcPr>
          <w:p>
            <w:pPr>
              <w:jc w:val="left"/>
            </w:pPr>
            <w:r/>
            <w:r>
              <w:rPr>
                <w:b/>
                <w:sz w:val="21"/>
              </w:rPr>
              <w:t>8</w:t>
            </w:r>
          </w:p>
        </w:tc>
        <w:tc>
          <w:tcPr>
            <w:tcW w:type="dxa" w:w="3118"/>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Appliances (fridge, washing machine, microwave)</w:t>
            </w:r>
          </w:p>
        </w:tc>
        <w:tc>
          <w:tcPr>
            <w:tcW w:type="dxa" w:w="1417"/>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{{APPLIANCE_QTY}}</w:t>
            </w:r>
          </w:p>
        </w:tc>
        <w:tc>
          <w:tcPr>
            <w:tcW w:type="dxa" w:w="170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t>{{APPLIANCE_CONDITION}}</w:t>
            </w:r>
          </w:p>
        </w:tc>
        <w:tc>
          <w:tcPr>
            <w:tcW w:type="dxa" w:w="2381"/>
            <w:tcBorders>
              <w:top w:val="single" w:sz="4" w:color="808080"/>
              <w:left w:val="single" w:sz="4" w:color="808080"/>
              <w:bottom w:val="single" w:sz="4" w:color="808080"/>
              <w:right w:val="single" w:sz="4" w:color="808080"/>
            </w:tcBorders>
            <w:vAlign w:val="center"/>
            <w:shd w:val="clear" w:color="auto" w:fill="F2F2F2"/>
          </w:tcPr>
          <w:p>
            <w:pPr>
              <w:jc w:val="left"/>
            </w:pPr>
            <w:r/>
            <w:r>
              <w:rPr>
                <w:sz w:val="21"/>
              </w:rPr>
            </w:r>
          </w:p>
        </w:tc>
      </w:tr>
    </w:tbl>
    <w:p/>
    <w:p>
      <w:pPr>
        <w:spacing w:before="240" w:after="80"/>
        <w:pBdr>
          <w:bottom w:val="single" w:sz="6" w:space="1" w:color="002060"/>
        </w:pBdr>
      </w:pPr>
      <w:r>
        <w:rPr>
          <w:b/>
          <w:color w:val="002060"/>
          <w:sz w:val="25"/>
        </w:rPr>
        <w:t>IN WITNESS WHEREOF</w:t>
      </w:r>
    </w:p>
    <w:p>
      <w:pPr>
        <w:jc w:val="both"/>
      </w:pPr>
      <w:r>
        <w:rPr>
          <w:b/>
          <w:i w:val="0"/>
        </w:rPr>
        <w:t>IN WITNESS WHEREOF the Parties hereto have set their respective hands and signed this Deed on the day, month and year first above written, in the presence of the witnesses attesting hereunder.</w:t>
      </w:r>
    </w:p>
    <w:p/>
    <w:p>
      <w:pPr>
        <w:spacing w:before="160" w:after="60"/>
      </w:pPr>
      <w:r>
        <w:rPr>
          <w:b/>
          <w:color w:val="002060"/>
          <w:sz w:val="23"/>
        </w:rPr>
        <w:t>SIGNED, SEALED AND DELIVERED BY THE LICENSOR:</w:t>
      </w:r>
    </w:p>
    <w:p>
      <w:pPr>
        <w:jc w:val="both"/>
      </w:pPr>
      <w:r>
        <w:rPr>
          <w:b w:val="0"/>
          <w:i w:val="0"/>
        </w:rPr>
        <w:t>_________________________________</w:t>
      </w:r>
    </w:p>
    <w:p>
      <w:pPr>
        <w:jc w:val="both"/>
      </w:pPr>
      <w:r>
        <w:rPr>
          <w:b/>
          <w:i w:val="0"/>
        </w:rPr>
        <w:t>{{LICENSOR_NAME}}</w:t>
      </w:r>
    </w:p>
    <w:p>
      <w:pPr>
        <w:jc w:val="both"/>
      </w:pPr>
      <w:r>
        <w:rPr>
          <w:b w:val="0"/>
          <w:i w:val="0"/>
        </w:rPr>
        <w:t>(Licensor)</w:t>
      </w:r>
    </w:p>
    <w:p>
      <w:pPr>
        <w:jc w:val="both"/>
      </w:pPr>
      <w:r>
        <w:rPr>
          <w:b w:val="0"/>
          <w:i w:val="0"/>
        </w:rPr>
        <w:t>Photograph / Thumb impression of {{LICENSOR_NAME}} is affixed at the place provided in this Deed and the same is duly attested by the witnesses below.</w:t>
      </w:r>
    </w:p>
    <w:p/>
    <w:p>
      <w:pPr>
        <w:spacing w:before="160" w:after="60"/>
      </w:pPr>
      <w:r>
        <w:rPr>
          <w:b/>
          <w:color w:val="002060"/>
          <w:sz w:val="23"/>
        </w:rPr>
        <w:t>SIGNED, SEALED AND DELIVERED BY THE LICENSEE:</w:t>
      </w:r>
    </w:p>
    <w:p>
      <w:pPr>
        <w:jc w:val="both"/>
      </w:pPr>
      <w:r>
        <w:rPr>
          <w:b w:val="0"/>
          <w:i w:val="0"/>
        </w:rPr>
        <w:t>_________________________________</w:t>
      </w:r>
    </w:p>
    <w:p>
      <w:pPr>
        <w:jc w:val="both"/>
      </w:pPr>
      <w:r>
        <w:rPr>
          <w:b/>
          <w:i w:val="0"/>
        </w:rPr>
        <w:t>{{LICENSEE_NAME}}</w:t>
      </w:r>
    </w:p>
    <w:p>
      <w:pPr>
        <w:jc w:val="both"/>
      </w:pPr>
      <w:r>
        <w:rPr>
          <w:b w:val="0"/>
          <w:i w:val="0"/>
        </w:rPr>
        <w:t>(Licensee)</w:t>
      </w:r>
    </w:p>
    <w:p>
      <w:pPr>
        <w:jc w:val="both"/>
      </w:pPr>
      <w:r>
        <w:rPr>
          <w:b w:val="0"/>
          <w:i w:val="0"/>
        </w:rPr>
        <w:t>Photograph / Thumb impression of {{LICENSEE_NAME}} is affixed at the place provided in this Deed and the same is duly attested by the witnesses below.</w:t>
      </w:r>
    </w:p>
    <w:p/>
    <w:p>
      <w:pPr>
        <w:spacing w:before="160" w:after="60"/>
      </w:pPr>
      <w:r>
        <w:rPr>
          <w:b/>
          <w:color w:val="002060"/>
          <w:sz w:val="23"/>
        </w:rPr>
        <w:t>ATTESTED BY (in accordance with Section 3 of the Transfer of Property Act, 1882):</w:t>
      </w:r>
    </w:p>
    <w:p>
      <w:pPr>
        <w:jc w:val="both"/>
      </w:pPr>
      <w:r>
        <w:rPr>
          <w:b/>
          <w:i w:val="0"/>
        </w:rPr>
        <w:t>Witness 1:</w:t>
      </w:r>
    </w:p>
    <w:p>
      <w:pPr>
        <w:jc w:val="both"/>
      </w:pPr>
      <w:r>
        <w:rPr>
          <w:b w:val="0"/>
          <w:i w:val="0"/>
        </w:rPr>
        <w:t>Name: {{WITNESS_1_NAME}}</w:t>
      </w:r>
    </w:p>
    <w:p>
      <w:pPr>
        <w:jc w:val="both"/>
      </w:pPr>
      <w:r>
        <w:rPr>
          <w:b w:val="0"/>
          <w:i w:val="0"/>
        </w:rPr>
        <w:t>S/o, D/o, W/o: {{WITNESS_1_PARENT_NAME}}; Age: {{WITNESS_1_AGE}}; Occupation: {{WITNESS_1_OCCUPATION}}</w:t>
      </w:r>
    </w:p>
    <w:p>
      <w:pPr>
        <w:jc w:val="both"/>
      </w:pPr>
      <w:r>
        <w:rPr>
          <w:b w:val="0"/>
          <w:i w:val="0"/>
        </w:rPr>
        <w:t>Address: {{WITNESS_1_ADDRESS}}</w:t>
      </w:r>
    </w:p>
    <w:p>
      <w:pPr>
        <w:jc w:val="both"/>
      </w:pPr>
      <w:r>
        <w:rPr>
          <w:b w:val="0"/>
          <w:i w:val="0"/>
        </w:rPr>
        <w:t>PAN / Aadhaar (last 4): {{WITNESS_1_ID}}</w:t>
      </w:r>
    </w:p>
    <w:p>
      <w:pPr>
        <w:jc w:val="both"/>
      </w:pPr>
      <w:r>
        <w:rPr>
          <w:b w:val="0"/>
          <w:i w:val="0"/>
        </w:rPr>
        <w:t>Signature: _________________________________</w:t>
      </w:r>
    </w:p>
    <w:p/>
    <w:p>
      <w:pPr>
        <w:jc w:val="both"/>
      </w:pPr>
      <w:r>
        <w:rPr>
          <w:b/>
          <w:i w:val="0"/>
        </w:rPr>
        <w:t>Witness 2:</w:t>
      </w:r>
    </w:p>
    <w:p>
      <w:pPr>
        <w:jc w:val="both"/>
      </w:pPr>
      <w:r>
        <w:rPr>
          <w:b w:val="0"/>
          <w:i w:val="0"/>
        </w:rPr>
        <w:t>Name: {{WITNESS_2_NAME}}</w:t>
      </w:r>
    </w:p>
    <w:p>
      <w:pPr>
        <w:jc w:val="both"/>
      </w:pPr>
      <w:r>
        <w:rPr>
          <w:b w:val="0"/>
          <w:i w:val="0"/>
        </w:rPr>
        <w:t>S/o, D/o, W/o: {{WITNESS_2_PARENT_NAME}}; Age: {{WITNESS_2_AGE}}; Occupation: {{WITNESS_2_OCCUPATION}}</w:t>
      </w:r>
    </w:p>
    <w:p>
      <w:pPr>
        <w:jc w:val="both"/>
      </w:pPr>
      <w:r>
        <w:rPr>
          <w:b w:val="0"/>
          <w:i w:val="0"/>
        </w:rPr>
        <w:t>Address: {{WITNESS_2_ADDRESS}}</w:t>
      </w:r>
    </w:p>
    <w:p>
      <w:pPr>
        <w:jc w:val="both"/>
      </w:pPr>
      <w:r>
        <w:rPr>
          <w:b w:val="0"/>
          <w:i w:val="0"/>
        </w:rPr>
        <w:t>PAN / Aadhaar (last 4): {{WITNESS_2_ID}}</w:t>
      </w:r>
    </w:p>
    <w:p>
      <w:pPr>
        <w:jc w:val="both"/>
      </w:pPr>
      <w:r>
        <w:rPr>
          <w:b w:val="0"/>
          <w:i w:val="0"/>
        </w:rPr>
        <w:t>Signature: _________________________________</w:t>
      </w:r>
    </w:p>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