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60"/>
        <w:jc w:val="center"/>
      </w:pPr>
      <w:r>
        <w:rPr>
          <w:b/>
          <w:color w:val="002060"/>
          <w:sz w:val="40"/>
        </w:rPr>
        <w:t>SALE AGREEMENT</w:t>
      </w:r>
    </w:p>
    <w:p>
      <w:pPr>
        <w:spacing w:before="200" w:after="160"/>
        <w:jc w:val="center"/>
      </w:pPr>
      <w:r>
        <w:rPr>
          <w:b/>
          <w:color w:val="002060"/>
          <w:sz w:val="26"/>
        </w:rPr>
        <w:t>(Short-form residential sale agreement — preceding execution of the Sale Deed)</w:t>
      </w:r>
    </w:p>
    <w:p/>
    <w:p>
      <w:pPr>
        <w:spacing w:before="240" w:after="80"/>
        <w:pBdr>
          <w:bottom w:val="single" w:sz="6" w:space="1" w:color="002060"/>
        </w:pBdr>
      </w:pPr>
      <w:r>
        <w:rPr>
          <w:b/>
          <w:color w:val="002060"/>
          <w:sz w:val="25"/>
        </w:rPr>
        <w:t>STAMP DUTY &amp; REGISTRATION PARTICULARS</w:t>
      </w:r>
    </w:p>
    <w:tbl>
      <w:tblPr>
        <w:tblW w:type="auto" w:w="0"/>
        <w:jc w:val="center"/>
        <w:tblLayout w:type="fixed"/>
        <w:tblLook w:firstColumn="1" w:firstRow="1" w:lastColumn="0" w:lastRow="0" w:noHBand="0" w:noVBand="1" w:val="04A0"/>
      </w:tblPr>
      <w:tblGrid>
        <w:gridCol w:w="4873"/>
        <w:gridCol w:w="4873"/>
      </w:tblGrid>
      <w:tr>
        <w:tc>
          <w:tcPr>
            <w:tcW w:type="dxa" w:w="3969"/>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Field</w:t>
            </w:r>
          </w:p>
        </w:tc>
        <w:tc>
          <w:tcPr>
            <w:tcW w:type="dxa" w:w="5386"/>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Particulars</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Instrument</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Sale Agreement / Memorandum of Sale (pre-contract to the principal Sale Deed)</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State of Execution</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{{STATE_OF_EXECUTION}}</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Article under Schedule I-A / I of Indian Stamp Act, 1899 (as applicable to State)</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{{STAMP_ARTICLE_NO}}</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Basis of Stamp Duty</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On the earnest money / advance and total consideration, as per the State Stamp Act; typically credited / adjusted at the time of execution of the Sale Deed.</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Stamp Duty Paid (₹)</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{{STAMP_DUTY_AMOUNT_INR}} (Rupees {{STAMP_DUTY_WORDS}} only)</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Mode of Stamp Duty Payment</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{{STAMP_DUTY_MODE}} (Non-judicial Stamp Paper / e-Stamp Certificate / Franking / e-Challan)</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Stamp Paper / e-Stamp Certificate No.</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{{STAMP_CERTIFICATE_NO}}</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Date of Stamp Paper / e-Stamp Issuance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{{STAMP_CERTIFICATE_DATE}}</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Registration Status under Section 17 / 18 of the Registration Act, 1908</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REGISTRATION RECOMMENDED but generally optional under Section 17(2)(v) of the Registration Act, 1908 — except in States like Maharashtra and Karnataka where agreements affecting immovable property may have to be registered. Note: per Suraj Lamp &amp; Industries Pvt Ltd v. State of Haryana, (2012) 1 SCC 656, transfer of title in immovable property is effected ONLY by a registered Sale Deed; a Sale Agreement does not convey title.</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Office of the Sub-Registrar of Assurances</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{{SUB_REGISTRAR_OFFICE}}</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Registration Fee (₹)</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{{REGISTRATION_FEE_INR}} (typically 1% of consideration / market value, subject to cap as per State Rules)</w:t>
            </w:r>
          </w:p>
        </w:tc>
      </w:tr>
    </w:tbl>
    <w:p/>
    <w:p>
      <w:pPr>
        <w:jc w:val="both"/>
      </w:pPr>
      <w:r>
        <w:rPr>
          <w:b w:val="0"/>
          <w:i/>
          <w:sz w:val="19"/>
        </w:rPr>
        <w:t>NOTE ON STAMP DUTY: Stamp duty rates are State-specific and vary from State to State. The amounts indicated above must be computed in accordance with the prevailing Stamp Act of the State where the property is situated, taking into account (a) the market value / circle rate (Ready Reckoner / Guidance Value) of the Property; (b) any concessional rates available (e.g., for women buyers, blood relatives in gift, partition amongst family); (c) surcharge / cess applicable (e.g., metro cess, women welfare cess); and (d) any amnesty schemes in force. Insufficient stamping renders the instrument inadmissible in evidence under Section 35 of the Indian Stamp Act, 1899, save on payment of deficient stamp duty + penalty of up to 10 times.</w:t>
      </w:r>
    </w:p>
    <w:p/>
    <w:p>
      <w:pPr>
        <w:jc w:val="both"/>
      </w:pPr>
      <w:r>
        <w:rPr>
          <w:b w:val="0"/>
          <w:i w:val="0"/>
        </w:rPr>
        <w:t>THIS DEED OF SALE (AGREEMENT TO SELL) (this “Deed”) is made and executed at {{EXECUTION_PLACE}} on this {{EXECUTION_DAY}} day of {{EXECUTION_MONTH}}, {{EXECUTION_YEAR}}</w:t>
      </w:r>
    </w:p>
    <w:p/>
    <w:p>
      <w:pPr>
        <w:jc w:val="both"/>
      </w:pPr>
      <w:r>
        <w:rPr>
          <w:b/>
          <w:i w:val="0"/>
        </w:rPr>
        <w:t>BY AND BETWEEN</w:t>
      </w:r>
    </w:p>
    <w:p>
      <w:pPr>
        <w:jc w:val="both"/>
      </w:pPr>
      <w:r>
        <w:rPr>
          <w:b/>
        </w:rPr>
        <w:t xml:space="preserve">{{VENDOR_NAME}}, </w:t>
      </w:r>
      <w:r>
        <w:t>aged about {{VENDOR_AGE}} years, S/o / D/o / W/o {{VENDOR_PARENT_NAME}}, by faith {{VENDOR_RELIGION}}, by nationality Indian, by occupation {{VENDOR_OCCUPATION}}, holding PAN {{VENDOR_PAN}} and Aadhaar No. (last 4 digits) XXXX-XXXX-{{VENDOR_AADHAAR_LAST4}}, permanent resident of and presently residing at {{VENDOR_ADDRESS}} (hereinafter referred to as the “VENDOR”, which expression shall, unless repugnant to the context or meaning thereof, mean and include his / her / their heirs, executors, administrators, legal representatives, successors and permitted assigns), of the OF THE FIRST PART;</w:t>
      </w:r>
    </w:p>
    <w:p/>
    <w:p>
      <w:pPr>
        <w:jc w:val="center"/>
      </w:pPr>
      <w:r>
        <w:rPr>
          <w:b/>
        </w:rPr>
        <w:t>AND</w:t>
      </w:r>
    </w:p>
    <w:p/>
    <w:p>
      <w:pPr>
        <w:jc w:val="both"/>
      </w:pPr>
      <w:r>
        <w:rPr>
          <w:b/>
        </w:rPr>
        <w:t xml:space="preserve">{{PURCHASER_NAME}}, </w:t>
      </w:r>
      <w:r>
        <w:t>aged about {{PURCHASER_AGE}} years, S/o / D/o / W/o {{PURCHASER_PARENT_NAME}}, by faith {{PURCHASER_RELIGION}}, by nationality Indian, by occupation {{PURCHASER_OCCUPATION}}, holding PAN {{PURCHASER_PAN}} and Aadhaar No. (last 4 digits) XXXX-XXXX-{{PURCHASER_AADHAAR_LAST4}}, permanent resident of and presently residing at {{PURCHASER_ADDRESS}} (hereinafter referred to as the “PURCHASER”, which expression shall, unless repugnant to the context or meaning thereof, mean and include his / her / their heirs, executors, administrators, legal representatives, successors and permitted assigns), of the OF THE SECOND PART;</w:t>
      </w:r>
    </w:p>
    <w:p/>
    <w:p/>
    <w:p>
      <w:pPr>
        <w:jc w:val="both"/>
      </w:pPr>
      <w:r>
        <w:rPr>
          <w:b/>
          <w:i w:val="0"/>
        </w:rPr>
        <w:t>WHEREAS:</w:t>
      </w:r>
    </w:p>
    <w:p/>
    <w:p>
      <w:pPr>
        <w:jc w:val="both"/>
      </w:pPr>
      <w:r>
        <w:rPr>
          <w:b/>
        </w:rPr>
        <w:t xml:space="preserve">(A)  </w:t>
      </w:r>
      <w:r>
        <w:t>the Vendor is the absolute, exclusive, sole and lawful owner of, seised and possessed of, or otherwise well and sufficiently entitled to, the immovable property more particularly described in Schedule A hereto (the “Property”), with good, marketable, valid, subsisting and transferable title thereto, as evidenced by the chain of title set out in Schedule B;</w:t>
      </w:r>
    </w:p>
    <w:p>
      <w:pPr>
        <w:jc w:val="both"/>
      </w:pPr>
      <w:r>
        <w:rPr>
          <w:b/>
        </w:rPr>
        <w:t xml:space="preserve">(B)  </w:t>
      </w:r>
      <w:r>
        <w:t>the Property is free from all encumbrances, claims, demands, mortgages, charges, liens, attachments, lis pendens, prior agreements to sell or transfer, leases, tenancies, undisclosed co-owners and any rights of pre-emption or first refusal;</w:t>
      </w:r>
    </w:p>
    <w:p>
      <w:pPr>
        <w:jc w:val="both"/>
      </w:pPr>
      <w:r>
        <w:rPr>
          <w:b/>
        </w:rPr>
        <w:t xml:space="preserve">(C)  </w:t>
      </w:r>
      <w:r>
        <w:t>the Vendor has decided to sell, and the Purchaser has agreed to purchase, the Property for valuable consideration of ₹ {{TOTAL_CONSIDERATION_INR}} (Rupees {{TOTAL_CONSIDERATION_WORDS}} only) on the terms and conditions hereinafter appearing;</w:t>
      </w:r>
    </w:p>
    <w:p>
      <w:pPr>
        <w:jc w:val="both"/>
      </w:pPr>
      <w:r>
        <w:rPr>
          <w:b/>
        </w:rPr>
        <w:t xml:space="preserve">(D)  </w:t>
      </w:r>
      <w:r>
        <w:t>the Parties have negotiated and mutually agreed on the principal commercial terms, and intend to record the same by way of this Sale Agreement, pending execution of the formal Sale Deed.</w:t>
      </w:r>
    </w:p>
    <w:p/>
    <w:p>
      <w:pPr>
        <w:jc w:val="both"/>
      </w:pPr>
      <w:r>
        <w:rPr>
          <w:b/>
          <w:i w:val="0"/>
        </w:rPr>
        <w:t>NOW, THEREFORE, in consideration of the mutual covenants, agreements, representations and warranties set out herein, and the consideration recited above, and intending to be legally bound hereby, the Parties have agreed as follows and this Deed WITNESSETH AS UNDER:</w:t>
      </w:r>
    </w:p>
    <w:p/>
    <w:p>
      <w:pPr>
        <w:spacing w:before="80"/>
        <w:jc w:val="both"/>
      </w:pPr>
      <w:r>
        <w:rPr>
          <w:b/>
        </w:rPr>
        <w:t xml:space="preserve">1. </w:t>
      </w:r>
      <w:r>
        <w:rPr>
          <w:b/>
        </w:rPr>
        <w:t xml:space="preserve">AGREEMENT TO SELL AND PURCHASE. </w:t>
      </w:r>
      <w:r>
        <w:t>Subject to the terms and conditions set out herein, the Vendor agrees to sell and the Purchaser agrees to purchase the Property for the Total Consideration set forth below, free from all encumbrances and with vacant, peaceful possession.</w:t>
      </w:r>
    </w:p>
    <w:p>
      <w:pPr>
        <w:spacing w:before="80"/>
        <w:jc w:val="both"/>
      </w:pPr>
      <w:r>
        <w:rPr>
          <w:b/>
        </w:rPr>
        <w:t xml:space="preserve">2. </w:t>
      </w:r>
      <w:r>
        <w:rPr>
          <w:b/>
        </w:rPr>
        <w:t xml:space="preserve">TOTAL CONSIDERATION AND PAYMENT SCHEDULE. </w:t>
      </w:r>
      <w:r>
        <w:t>The Total Consideration for the sale of the Property shall be ₹ {{TOTAL_CONSIDERATION_INR}} (Rupees {{TOTAL_CONSIDERATION_WORDS}} only), payable in the following tranches:</w:t>
      </w:r>
    </w:p>
    <w:tbl>
      <w:tblPr>
        <w:tblW w:type="auto" w:w="0"/>
        <w:jc w:val="center"/>
        <w:tblLayout w:type="fixed"/>
        <w:tblLook w:firstColumn="1" w:firstRow="1" w:lastColumn="0" w:lastRow="0" w:noHBand="0" w:noVBand="1" w:val="04A0"/>
      </w:tblPr>
      <w:tblGrid>
        <w:gridCol w:w="2436"/>
        <w:gridCol w:w="2436"/>
        <w:gridCol w:w="2436"/>
        <w:gridCol w:w="2436"/>
      </w:tblGrid>
      <w:tr>
        <w:tc>
          <w:tcPr>
            <w:tcW w:type="dxa" w:w="850"/>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Tranche</w:t>
            </w:r>
          </w:p>
        </w:tc>
        <w:tc>
          <w:tcPr>
            <w:tcW w:type="dxa" w:w="3118"/>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Trigger / Milestone</w:t>
            </w:r>
          </w:p>
        </w:tc>
        <w:tc>
          <w:tcPr>
            <w:tcW w:type="dxa" w:w="2551"/>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Amount (₹)</w:t>
            </w:r>
          </w:p>
        </w:tc>
        <w:tc>
          <w:tcPr>
            <w:tcW w:type="dxa" w:w="2835"/>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Payable On / Before</w:t>
            </w:r>
          </w:p>
        </w:tc>
      </w:tr>
      <w:tr>
        <w:tc>
          <w:tcPr>
            <w:tcW w:type="dxa" w:w="850"/>
            <w:tcBorders>
              <w:top w:val="single" w:sz="4" w:color="808080"/>
              <w:left w:val="single" w:sz="4" w:color="808080"/>
              <w:bottom w:val="single" w:sz="4" w:color="808080"/>
              <w:right w:val="single" w:sz="4" w:color="808080"/>
            </w:tcBorders>
            <w:vAlign w:val="center"/>
          </w:tcPr>
          <w:p>
            <w:pPr>
              <w:jc w:val="left"/>
            </w:pPr>
            <w:r/>
            <w:r>
              <w:rPr>
                <w:b/>
                <w:sz w:val="21"/>
              </w:rPr>
              <w:t>1</w:t>
            </w:r>
          </w:p>
        </w:tc>
        <w:tc>
          <w:tcPr>
            <w:tcW w:type="dxa" w:w="3118"/>
            <w:tcBorders>
              <w:top w:val="single" w:sz="4" w:color="808080"/>
              <w:left w:val="single" w:sz="4" w:color="808080"/>
              <w:bottom w:val="single" w:sz="4" w:color="808080"/>
              <w:right w:val="single" w:sz="4" w:color="808080"/>
            </w:tcBorders>
            <w:vAlign w:val="center"/>
          </w:tcPr>
          <w:p>
            <w:pPr>
              <w:jc w:val="left"/>
            </w:pPr>
            <w:r/>
            <w:r>
              <w:rPr>
                <w:sz w:val="21"/>
              </w:rPr>
              <w:t>Earnest Money / Token Money at execution hereof</w:t>
            </w:r>
          </w:p>
        </w:tc>
        <w:tc>
          <w:tcPr>
            <w:tcW w:type="dxa" w:w="2551"/>
            <w:tcBorders>
              <w:top w:val="single" w:sz="4" w:color="808080"/>
              <w:left w:val="single" w:sz="4" w:color="808080"/>
              <w:bottom w:val="single" w:sz="4" w:color="808080"/>
              <w:right w:val="single" w:sz="4" w:color="808080"/>
            </w:tcBorders>
            <w:vAlign w:val="center"/>
          </w:tcPr>
          <w:p>
            <w:pPr>
              <w:jc w:val="left"/>
            </w:pPr>
            <w:r/>
            <w:r>
              <w:rPr>
                <w:sz w:val="21"/>
              </w:rPr>
              <w:t>{{EARNEST_MONEY_INR}}</w:t>
            </w:r>
          </w:p>
        </w:tc>
        <w:tc>
          <w:tcPr>
            <w:tcW w:type="dxa" w:w="2835"/>
            <w:tcBorders>
              <w:top w:val="single" w:sz="4" w:color="808080"/>
              <w:left w:val="single" w:sz="4" w:color="808080"/>
              <w:bottom w:val="single" w:sz="4" w:color="808080"/>
              <w:right w:val="single" w:sz="4" w:color="808080"/>
            </w:tcBorders>
            <w:vAlign w:val="center"/>
          </w:tcPr>
          <w:p>
            <w:pPr>
              <w:jc w:val="left"/>
            </w:pPr>
            <w:r/>
            <w:r>
              <w:rPr>
                <w:sz w:val="21"/>
              </w:rPr>
              <w:t>On execution of this Agreement</w:t>
            </w:r>
          </w:p>
        </w:tc>
      </w:tr>
      <w:tr>
        <w:tc>
          <w:tcPr>
            <w:tcW w:type="dxa" w:w="850"/>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2</w:t>
            </w:r>
          </w:p>
        </w:tc>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Part-payment at completion of title due diligence</w:t>
            </w:r>
          </w:p>
        </w:tc>
        <w:tc>
          <w:tcPr>
            <w:tcW w:type="dxa" w:w="255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{{TRANCHE_2_INR}}</w:t>
            </w:r>
          </w:p>
        </w:tc>
        <w:tc>
          <w:tcPr>
            <w:tcW w:type="dxa" w:w="2835"/>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{{TRANCHE_2_DATE}}</w:t>
            </w:r>
          </w:p>
        </w:tc>
      </w:tr>
      <w:tr>
        <w:tc>
          <w:tcPr>
            <w:tcW w:type="dxa" w:w="850"/>
            <w:tcBorders>
              <w:top w:val="single" w:sz="4" w:color="808080"/>
              <w:left w:val="single" w:sz="4" w:color="808080"/>
              <w:bottom w:val="single" w:sz="4" w:color="808080"/>
              <w:right w:val="single" w:sz="4" w:color="808080"/>
            </w:tcBorders>
            <w:vAlign w:val="center"/>
          </w:tcPr>
          <w:p>
            <w:pPr>
              <w:jc w:val="left"/>
            </w:pPr>
            <w:r/>
            <w:r>
              <w:rPr>
                <w:b/>
                <w:sz w:val="21"/>
              </w:rPr>
              <w:t>3</w:t>
            </w:r>
          </w:p>
        </w:tc>
        <w:tc>
          <w:tcPr>
            <w:tcW w:type="dxa" w:w="3118"/>
            <w:tcBorders>
              <w:top w:val="single" w:sz="4" w:color="808080"/>
              <w:left w:val="single" w:sz="4" w:color="808080"/>
              <w:bottom w:val="single" w:sz="4" w:color="808080"/>
              <w:right w:val="single" w:sz="4" w:color="808080"/>
            </w:tcBorders>
            <w:vAlign w:val="center"/>
          </w:tcPr>
          <w:p>
            <w:pPr>
              <w:jc w:val="left"/>
            </w:pPr>
            <w:r/>
            <w:r>
              <w:rPr>
                <w:sz w:val="21"/>
              </w:rPr>
              <w:t>Balance Consideration at execution of Sale Deed</w:t>
            </w:r>
          </w:p>
        </w:tc>
        <w:tc>
          <w:tcPr>
            <w:tcW w:type="dxa" w:w="2551"/>
            <w:tcBorders>
              <w:top w:val="single" w:sz="4" w:color="808080"/>
              <w:left w:val="single" w:sz="4" w:color="808080"/>
              <w:bottom w:val="single" w:sz="4" w:color="808080"/>
              <w:right w:val="single" w:sz="4" w:color="808080"/>
            </w:tcBorders>
            <w:vAlign w:val="center"/>
          </w:tcPr>
          <w:p>
            <w:pPr>
              <w:jc w:val="left"/>
            </w:pPr>
            <w:r/>
            <w:r>
              <w:rPr>
                <w:sz w:val="21"/>
              </w:rPr>
              <w:t>{{TRANCHE_3_INR}}</w:t>
            </w:r>
          </w:p>
        </w:tc>
        <w:tc>
          <w:tcPr>
            <w:tcW w:type="dxa" w:w="2835"/>
            <w:tcBorders>
              <w:top w:val="single" w:sz="4" w:color="808080"/>
              <w:left w:val="single" w:sz="4" w:color="808080"/>
              <w:bottom w:val="single" w:sz="4" w:color="808080"/>
              <w:right w:val="single" w:sz="4" w:color="808080"/>
            </w:tcBorders>
            <w:vAlign w:val="center"/>
          </w:tcPr>
          <w:p>
            <w:pPr>
              <w:jc w:val="left"/>
            </w:pPr>
            <w:r/>
            <w:r>
              <w:rPr>
                <w:sz w:val="21"/>
              </w:rPr>
              <w:t>On execution &amp; registration of Sale Deed</w:t>
            </w:r>
          </w:p>
        </w:tc>
      </w:tr>
      <w:tr>
        <w:tc>
          <w:tcPr>
            <w:tcW w:type="dxa" w:w="850"/>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r>
          </w:p>
        </w:tc>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TOTAL</w:t>
            </w:r>
          </w:p>
        </w:tc>
        <w:tc>
          <w:tcPr>
            <w:tcW w:type="dxa" w:w="255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{{TOTAL_CONSIDERATION_INR}}</w:t>
            </w:r>
          </w:p>
        </w:tc>
        <w:tc>
          <w:tcPr>
            <w:tcW w:type="dxa" w:w="2835"/>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t>
            </w:r>
          </w:p>
        </w:tc>
      </w:tr>
    </w:tbl>
    <w:p/>
    <w:p>
      <w:pPr>
        <w:spacing w:before="80"/>
        <w:jc w:val="both"/>
      </w:pPr>
      <w:r>
        <w:rPr>
          <w:b/>
        </w:rPr>
        <w:t xml:space="preserve">3. </w:t>
      </w:r>
      <w:r>
        <w:rPr>
          <w:b/>
        </w:rPr>
        <w:t xml:space="preserve">TIME FOR EXECUTION OF SALE DEED. </w:t>
      </w:r>
      <w:r>
        <w:t>Time being the essence of this Agreement, the Sale Deed shall be executed and registered on or before {{SALE_DEED_DEADLINE}} (the “Long-Stop Date”), at the office of the Sub-Registrar of Assurances, {{SUB_REGISTRAR_OFFICE}}. The Parties shall jointly attend before the Sub-Registrar with all required documents and proofs.</w:t>
      </w:r>
    </w:p>
    <w:p>
      <w:pPr>
        <w:spacing w:before="80"/>
        <w:jc w:val="both"/>
      </w:pPr>
      <w:r>
        <w:rPr>
          <w:b/>
        </w:rPr>
        <w:t xml:space="preserve">4. </w:t>
      </w:r>
      <w:r>
        <w:rPr>
          <w:b/>
        </w:rPr>
        <w:t xml:space="preserve">POSSESSION. </w:t>
      </w:r>
      <w:r>
        <w:t>Vacant, peaceful and unobstructed physical possession of the Property shall be delivered by the Vendor to the Purchaser simultaneously with the execution of the Sale Deed and receipt of the Balance Consideration. The Vendor undertakes to hand over the Property in the same condition as on the date hereof, with all keys, fittings, fixtures and original documents.</w:t>
      </w:r>
    </w:p>
    <w:p>
      <w:pPr>
        <w:spacing w:before="80"/>
        <w:jc w:val="both"/>
      </w:pPr>
      <w:r>
        <w:rPr>
          <w:b/>
        </w:rPr>
        <w:t xml:space="preserve">5. </w:t>
      </w:r>
      <w:r>
        <w:rPr>
          <w:b/>
        </w:rPr>
        <w:t xml:space="preserve">TDS UNDER SECTION 194-IA. </w:t>
      </w:r>
      <w:r>
        <w:t>If the Total Consideration is ₹ 50,00,000 or more, the Purchaser shall, before each payment, deduct 1% of the consideration as tax at source under Section 194-IA of the Income-tax Act, 1961, deposit the same with the Government within the prescribed time, file Form 26QB, and furnish Form 16B to the Vendor. The Vendor undertakes to furnish PAN and the necessary particulars.</w:t>
      </w:r>
    </w:p>
    <w:p>
      <w:pPr>
        <w:spacing w:before="80"/>
        <w:jc w:val="both"/>
      </w:pPr>
      <w:r>
        <w:rPr>
          <w:b/>
        </w:rPr>
        <w:t xml:space="preserve">6. </w:t>
      </w:r>
      <w:r>
        <w:rPr>
          <w:b/>
        </w:rPr>
        <w:t xml:space="preserve">DEFAULT AND REMEDIES. </w:t>
      </w:r>
      <w:r>
        <w:t>If the Purchaser fails to make any payment by the stipulated date despite a written cure notice of {{CURE_DAYS}} days, the Vendor shall be entitled to forfeit the Earnest Money / Token Money up to a reasonable amount (subject to the principles of Sections 73 and 74 of the Indian Contract Act, 1872) and terminate this Agreement. If the Vendor fails to execute the Sale Deed by the Long-Stop Date despite the Purchaser being ready and willing to perform, the Purchaser shall be entitled to (a) refund of all monies paid, with interest at {{DEFAULT_INTEREST_PERCENT}}% per annum; AND/OR (b) specific performance of this Agreement under Section 10 of the Specific Relief Act, 1963 (post-2018 amendment), and to seek registration of the Sale Deed by decree of court.</w:t>
      </w:r>
    </w:p>
    <w:p>
      <w:pPr>
        <w:spacing w:before="80"/>
        <w:jc w:val="both"/>
      </w:pPr>
      <w:r>
        <w:rPr>
          <w:b/>
        </w:rPr>
        <w:t xml:space="preserve">7. </w:t>
      </w:r>
      <w:r>
        <w:rPr>
          <w:b/>
        </w:rPr>
        <w:t xml:space="preserve">RIGHT TO INSPECT AND DUE DILIGENCE. </w:t>
      </w:r>
      <w:r>
        <w:t>The Purchaser shall have the right to conduct title due diligence on the Property, including (a) examination of the chain of title for the past 30 years; (b) search at the Sub-Registrar’s office; (c) verification of mutation, encumbrance, tax and utility records; (d) inspection of the Property; (e) verification of RERA registration (where applicable). The Vendor shall extend full cooperation and provide all documents promptly.</w:t>
      </w:r>
    </w:p>
    <w:p>
      <w:pPr>
        <w:spacing w:before="80"/>
        <w:jc w:val="both"/>
      </w:pPr>
      <w:r>
        <w:rPr>
          <w:b/>
        </w:rPr>
        <w:t xml:space="preserve">8. </w:t>
      </w:r>
      <w:r>
        <w:rPr>
          <w:b/>
        </w:rPr>
        <w:t xml:space="preserve">RERA COMPLIANCE. </w:t>
      </w:r>
      <w:r>
        <w:t>Where the Property is part of a project that is registered / required to be registered under the Real Estate (Regulation and Development) Act, 2016 (RERA), the Vendor warrants that the project is duly registered with the State Real Estate Regulatory Authority (Registration No. {{RERA_REG_NO}}), and that all disclosures under Section 4 of RERA are accurate and complete. The Vendor undertakes to comply with all RERA obligations applicable to him in respect of this sale.</w:t>
      </w:r>
    </w:p>
    <w:p>
      <w:pPr>
        <w:spacing w:before="240" w:after="80"/>
        <w:pBdr>
          <w:bottom w:val="single" w:sz="6" w:space="1" w:color="002060"/>
        </w:pBdr>
      </w:pPr>
      <w:r>
        <w:rPr>
          <w:b/>
          <w:color w:val="002060"/>
          <w:sz w:val="25"/>
        </w:rPr>
        <w:t>REPRESENTATIONS, WARRANTIES &amp; COVENANTS OF THE Vendor</w:t>
      </w:r>
    </w:p>
    <w:p>
      <w:pPr>
        <w:jc w:val="both"/>
      </w:pPr>
      <w:r>
        <w:rPr>
          <w:b w:val="0"/>
          <w:i w:val="0"/>
        </w:rPr>
        <w:t>The Vendor hereby represents, warrants, declares and covenants with the Transferee that:</w:t>
      </w:r>
    </w:p>
    <w:p>
      <w:pPr>
        <w:spacing w:before="40"/>
        <w:ind w:left="454"/>
        <w:jc w:val="both"/>
      </w:pPr>
      <w:r>
        <w:rPr>
          <w:b/>
        </w:rPr>
        <w:t xml:space="preserve">1. </w:t>
      </w:r>
      <w:r>
        <w:t>the Property hereby transferred is the absolute, exclusive and self-acquired / ancestral / coparcenary property of the Transferor, and the Transferor has good, marketable, valid, subsisting, transferable, indefeasible and absolute title and right to convey the same in accordance with the chain of title set out in Schedule B;</w:t>
      </w:r>
    </w:p>
    <w:p>
      <w:pPr>
        <w:spacing w:before="40"/>
        <w:ind w:left="454"/>
        <w:jc w:val="both"/>
      </w:pPr>
      <w:r>
        <w:rPr>
          <w:b/>
        </w:rPr>
        <w:t xml:space="preserve">2. </w:t>
      </w:r>
      <w:r>
        <w:t>the Property is free from all encumbrances, mortgages, charges, liens, hypothecation, pledges, attachments (whether before or after judgment), prior agreements to sell or transfer, lis pendens, claims of pre-emption, sale agreements, leases, tenancies, sub-tenancies, licences, occupancy rights, easements, trusts, undisclosed coparceners, restrictive covenants, litigation, family disputes, prior gift / partition / family settlement and any other rights of third parties (whether registered or otherwise) of any nature whatsoever;</w:t>
      </w:r>
    </w:p>
    <w:p>
      <w:pPr>
        <w:spacing w:before="40"/>
        <w:ind w:left="454"/>
        <w:jc w:val="both"/>
      </w:pPr>
      <w:r>
        <w:rPr>
          <w:b/>
        </w:rPr>
        <w:t xml:space="preserve">3. </w:t>
      </w:r>
      <w:r>
        <w:t>no part of the Property is subject to any acquisition or requisition or notification for acquisition by any Government or statutory authority under the Right to Fair Compensation and Transparency in Land Acquisition, Rehabilitation and Resettlement Act, 2013 or any town planning / development scheme;</w:t>
      </w:r>
    </w:p>
    <w:p>
      <w:pPr>
        <w:spacing w:before="40"/>
        <w:ind w:left="454"/>
        <w:jc w:val="both"/>
      </w:pPr>
      <w:r>
        <w:rPr>
          <w:b/>
        </w:rPr>
        <w:t xml:space="preserve">4. </w:t>
      </w:r>
      <w:r>
        <w:t>all municipal taxes, property taxes, electricity, water, sewerage, maintenance and other outgoings in respect of the Property have been duly paid by the Transferor up to the date of execution hereof, and the receipts in proof of such payment shall be handed over to the Transferee on or before such date;</w:t>
      </w:r>
    </w:p>
    <w:p>
      <w:pPr>
        <w:spacing w:before="40"/>
        <w:ind w:left="454"/>
        <w:jc w:val="both"/>
      </w:pPr>
      <w:r>
        <w:rPr>
          <w:b/>
        </w:rPr>
        <w:t xml:space="preserve">5. </w:t>
      </w:r>
      <w:r>
        <w:t>the Transferor has obtained all approvals, consents, no-objection certificates and clearances required for the lawful transfer of the Property, including (where applicable) under the relevant Co-operative Housing Society Bye-laws, Builder’s NOC, Income-tax clearance under Section 281 of the Income-tax Act, 1961 (where applicable), and clearance under any applicable State land laws;</w:t>
      </w:r>
    </w:p>
    <w:p>
      <w:pPr>
        <w:spacing w:before="40"/>
        <w:ind w:left="454"/>
        <w:jc w:val="both"/>
      </w:pPr>
      <w:r>
        <w:rPr>
          <w:b/>
        </w:rPr>
        <w:t xml:space="preserve">6. </w:t>
      </w:r>
      <w:r>
        <w:t>where the Property exceeds the threshold value of ₹ 50,00,000 (Rupees Fifty Lakhs only), the Transferee shall deduct tax at source at 1% under Section 194-IA of the Income-tax Act, 1961, and the Transferor undertakes to issue all necessary documentation in this regard;</w:t>
      </w:r>
    </w:p>
    <w:p>
      <w:pPr>
        <w:spacing w:before="40"/>
        <w:ind w:left="454"/>
        <w:jc w:val="both"/>
      </w:pPr>
      <w:r>
        <w:rPr>
          <w:b/>
        </w:rPr>
        <w:t xml:space="preserve">7. </w:t>
      </w:r>
      <w:r>
        <w:t>the Transferor is not a Non-Resident Indian (NRI) / Person of Indian Origin (PIO) / Overseas Citizen of India (OCI) / Foreign National; in case the Transferor is an NRI/PIO/OCI, this transfer is in compliance with the Foreign Exchange Management Act, 1999 and the Foreign Exchange Management (Acquisition and Transfer of Immovable Property in India) Regulations, 2018, and withholding tax at applicable rates under Section 195 of the Income-tax Act, 1961 has been or shall be duly deducted;</w:t>
      </w:r>
    </w:p>
    <w:p>
      <w:pPr>
        <w:spacing w:before="40"/>
        <w:ind w:left="454"/>
        <w:jc w:val="both"/>
      </w:pPr>
      <w:r>
        <w:rPr>
          <w:b/>
        </w:rPr>
        <w:t xml:space="preserve">8. </w:t>
      </w:r>
      <w:r>
        <w:t>the Transferor is competent to contract, of sound mind, has not been declared insolvent, and is not disqualified by any law or court order from executing this Deed;</w:t>
      </w:r>
    </w:p>
    <w:p>
      <w:pPr>
        <w:spacing w:before="40"/>
        <w:ind w:left="454"/>
        <w:jc w:val="both"/>
      </w:pPr>
      <w:r>
        <w:rPr>
          <w:b/>
        </w:rPr>
        <w:t xml:space="preserve">9. </w:t>
      </w:r>
      <w:r>
        <w:t>this Deed has been duly authorised, executed and delivered by the Transferor, and constitutes a valid, legal and binding obligation enforceable against the Transferor;</w:t>
      </w:r>
    </w:p>
    <w:p>
      <w:pPr>
        <w:spacing w:before="40"/>
        <w:ind w:left="454"/>
        <w:jc w:val="both"/>
      </w:pPr>
      <w:r>
        <w:rPr>
          <w:b/>
        </w:rPr>
        <w:t xml:space="preserve">10. </w:t>
      </w:r>
      <w:r>
        <w:t>no suit, action, arbitration, claim, proceeding, attachment or investigation is pending or, to the best of the Transferor’s knowledge after due enquiry, threatened against the Transferor or in respect of the Property which would affect the title, interest or possession of the Property or the transfer thereof to the Transferee;</w:t>
      </w:r>
    </w:p>
    <w:p>
      <w:pPr>
        <w:spacing w:before="40"/>
        <w:ind w:left="454"/>
        <w:jc w:val="both"/>
      </w:pPr>
      <w:r>
        <w:rPr>
          <w:b/>
        </w:rPr>
        <w:t xml:space="preserve">11. </w:t>
      </w:r>
      <w:r>
        <w:t>the Transferor has not received any notice of acquisition, requisition, demolition, or other action by any government, statutory or municipal authority affecting the Property;</w:t>
      </w:r>
    </w:p>
    <w:p>
      <w:pPr>
        <w:spacing w:before="40"/>
        <w:ind w:left="454"/>
        <w:jc w:val="both"/>
      </w:pPr>
      <w:r>
        <w:rPr>
          <w:b/>
        </w:rPr>
        <w:t xml:space="preserve">12. </w:t>
      </w:r>
      <w:r>
        <w:t>no person other than the Transferor has any right of pre-emption, first refusal, first offer, share, claim, interest or demand in respect of the Property;</w:t>
      </w:r>
    </w:p>
    <w:p>
      <w:pPr>
        <w:spacing w:before="40"/>
        <w:ind w:left="454"/>
        <w:jc w:val="both"/>
      </w:pPr>
      <w:r>
        <w:rPr>
          <w:b/>
        </w:rPr>
        <w:t xml:space="preserve">13. </w:t>
      </w:r>
      <w:r>
        <w:t>the Property has been constructed / occupied / used strictly in accordance with the sanctioned building plan / occupancy certificate / completion certificate, and there are no unauthorised or illegal constructions or additions;</w:t>
      </w:r>
    </w:p>
    <w:p>
      <w:pPr>
        <w:spacing w:before="40"/>
        <w:ind w:left="454"/>
        <w:jc w:val="both"/>
      </w:pPr>
      <w:r>
        <w:rPr>
          <w:b/>
        </w:rPr>
        <w:t xml:space="preserve">14. </w:t>
      </w:r>
      <w:r>
        <w:t>all representations and warranties set out herein are true, correct, complete and not misleading as on the date of this Deed.</w:t>
      </w:r>
    </w:p>
    <w:p/>
    <w:p>
      <w:pPr>
        <w:spacing w:before="240" w:after="80"/>
        <w:pBdr>
          <w:bottom w:val="single" w:sz="6" w:space="1" w:color="002060"/>
        </w:pBdr>
      </w:pPr>
      <w:r>
        <w:rPr>
          <w:b/>
          <w:color w:val="002060"/>
          <w:sz w:val="25"/>
        </w:rPr>
        <w:t>INDEMNITY</w:t>
      </w:r>
    </w:p>
    <w:p>
      <w:pPr>
        <w:jc w:val="both"/>
      </w:pPr>
      <w:r>
        <w:rPr>
          <w:b w:val="0"/>
          <w:i w:val="0"/>
        </w:rPr>
        <w:t>The Vendor hereby covenants with and agrees to indemnify, defend and hold harmless the Purchaser, and his/her/their heirs, executors, administrators, legal representatives, successors and permitted assigns, from and against all claims, demands, suits, actions, proceedings, losses, damages, costs, charges, expenses (including, without limitation, attorney’s fees on a full indemnity basis), taxes, duties, penalties and consequences of any nature whatsoever, directly or indirectly arising out of or in connection with (a) any breach of the representations, warranties, declarations and covenants set out herein; (b) any defect in or challenge to the title of the Transferor in the Property; (c) any prior encumbrance, claim, charge, attachment, litigation or third-party right not disclosed in this Deed; (d) any non-payment of taxes, duties or outgoings by the Transferor for the period prior to the date of this Deed; and (e) any misrepresentation made by the Transferor.</w:t>
      </w:r>
    </w:p>
    <w:p/>
    <w:p>
      <w:pPr>
        <w:spacing w:before="240" w:after="80"/>
        <w:pBdr>
          <w:bottom w:val="single" w:sz="6" w:space="1" w:color="002060"/>
        </w:pBdr>
      </w:pPr>
      <w:r>
        <w:rPr>
          <w:b/>
          <w:color w:val="002060"/>
          <w:sz w:val="25"/>
        </w:rPr>
        <w:t>MISCELLANEOUS PROVISIONS</w:t>
      </w:r>
    </w:p>
    <w:p>
      <w:pPr>
        <w:spacing w:before="160" w:after="60"/>
      </w:pPr>
      <w:r>
        <w:rPr>
          <w:b/>
          <w:color w:val="002060"/>
          <w:sz w:val="23"/>
        </w:rPr>
        <w:t>Governing Law and Jurisdiction</w:t>
      </w:r>
    </w:p>
    <w:p>
      <w:pPr>
        <w:jc w:val="both"/>
      </w:pPr>
      <w:r>
        <w:rPr>
          <w:b w:val="0"/>
          <w:i w:val="0"/>
        </w:rPr>
        <w:t>This Deed shall be governed by and construed in accordance with the laws of India. Subject to the dispute resolution clause below, the courts at {{COURT_JURISDICTION}} shall have exclusive jurisdiction in respect of any matter arising hereunder.</w:t>
      </w:r>
    </w:p>
    <w:p>
      <w:pPr>
        <w:spacing w:before="160" w:after="60"/>
      </w:pPr>
      <w:r>
        <w:rPr>
          <w:b/>
          <w:color w:val="002060"/>
          <w:sz w:val="23"/>
        </w:rPr>
        <w:t>Dispute Resolution and Arbitration</w:t>
      </w:r>
    </w:p>
    <w:p>
      <w:pPr>
        <w:jc w:val="both"/>
      </w:pPr>
      <w:r>
        <w:rPr>
          <w:b w:val="0"/>
          <w:i w:val="0"/>
        </w:rPr>
        <w:t>Any dispute, difference, controversy or claim arising out of or in connection with this Deed, including any question regarding its existence, validity, interpretation, breach or termination, shall first be attempted to be resolved amicably through good-faith negotiations between the Parties for a period of 30 (thirty) days. Failing such resolution, the dispute shall be referred to and finally resolved by arbitration under the Arbitration and Conciliation Act, 1996. The arbitration shall be by a sole arbitrator mutually appointed by the Parties; the seat and venue of arbitration shall be {{ARBITRATION_SEAT}}; and the language of arbitration shall be English. The award shall be final and binding on the Parties.</w:t>
      </w:r>
    </w:p>
    <w:p>
      <w:pPr>
        <w:spacing w:before="160" w:after="60"/>
      </w:pPr>
      <w:r>
        <w:rPr>
          <w:b/>
          <w:color w:val="002060"/>
          <w:sz w:val="23"/>
        </w:rPr>
        <w:t>Entire Agreement &amp; Amendment</w:t>
      </w:r>
    </w:p>
    <w:p>
      <w:pPr>
        <w:jc w:val="both"/>
      </w:pPr>
      <w:r>
        <w:rPr>
          <w:b w:val="0"/>
          <w:i w:val="0"/>
        </w:rPr>
        <w:t>This Deed (together with the Schedules and Annexures hereto) constitutes the entire agreement between the Parties with respect to the subject matter hereof and supersedes all prior agreements, understandings, negotiations and correspondence. No amendment or modification of this Deed shall be valid unless made in writing, executed by all Parties and (where required) duly stamped and registered.</w:t>
      </w:r>
    </w:p>
    <w:p>
      <w:pPr>
        <w:spacing w:before="160" w:after="60"/>
      </w:pPr>
      <w:r>
        <w:rPr>
          <w:b/>
          <w:color w:val="002060"/>
          <w:sz w:val="23"/>
        </w:rPr>
        <w:t>Severability</w:t>
      </w:r>
    </w:p>
    <w:p>
      <w:pPr>
        <w:jc w:val="both"/>
      </w:pPr>
      <w:r>
        <w:rPr>
          <w:b w:val="0"/>
          <w:i w:val="0"/>
        </w:rPr>
        <w:t>If any provision of this Deed is held to be invalid, illegal or unenforceable by a court or arbitral tribunal of competent jurisdiction, such provision shall be deemed severable, and the remaining provisions shall continue in full force and effect.</w:t>
      </w:r>
    </w:p>
    <w:p>
      <w:pPr>
        <w:spacing w:before="160" w:after="60"/>
      </w:pPr>
      <w:r>
        <w:rPr>
          <w:b/>
          <w:color w:val="002060"/>
          <w:sz w:val="23"/>
        </w:rPr>
        <w:t>Notices</w:t>
      </w:r>
    </w:p>
    <w:p>
      <w:pPr>
        <w:jc w:val="both"/>
      </w:pPr>
      <w:r>
        <w:rPr>
          <w:b w:val="0"/>
          <w:i w:val="0"/>
        </w:rPr>
        <w:t>All notices, consents, requests, demands and other communications hereunder shall be in writing and shall be delivered (a) personally with acknowledgement; (b) by registered post / speed post / courier with acknowledgement due; or (c) by email to the address / email-id of the Party as set out in this Deed or as subsequently notified in writing.</w:t>
      </w:r>
    </w:p>
    <w:p>
      <w:pPr>
        <w:spacing w:before="160" w:after="60"/>
      </w:pPr>
      <w:r>
        <w:rPr>
          <w:b/>
          <w:color w:val="002060"/>
          <w:sz w:val="23"/>
        </w:rPr>
        <w:t>Counterparts</w:t>
      </w:r>
    </w:p>
    <w:p>
      <w:pPr>
        <w:jc w:val="both"/>
      </w:pPr>
      <w:r>
        <w:rPr>
          <w:b w:val="0"/>
          <w:i w:val="0"/>
        </w:rPr>
        <w:t>This Deed may be executed in any number of counterparts, each of which when executed and delivered shall be an original, and all such counterparts shall together constitute one and the same instrument.</w:t>
      </w:r>
    </w:p>
    <w:p>
      <w:pPr>
        <w:spacing w:before="160" w:after="60"/>
      </w:pPr>
      <w:r>
        <w:rPr>
          <w:b/>
          <w:color w:val="002060"/>
          <w:sz w:val="23"/>
        </w:rPr>
        <w:t>Stamp Duty &amp; Registration</w:t>
      </w:r>
    </w:p>
    <w:p>
      <w:pPr>
        <w:jc w:val="both"/>
      </w:pPr>
      <w:r>
        <w:rPr>
          <w:b w:val="0"/>
          <w:i w:val="0"/>
        </w:rPr>
        <w:t>The stamp duty and registration fee in respect of this Deed shall be borne by the {{STAMP_DUTY_BEARER}} (typically the Transferee / Vendee / Lessee). The Parties shall jointly attend before the Sub-Registrar of Assurances for execution and registration of this Deed within 4 (four) months of execution as required under Section 23 of the Registration Act, 1908, with all necessary identity documents, photographs and biometric attendance.</w:t>
      </w:r>
    </w:p>
    <w:p>
      <w:pPr>
        <w:spacing w:before="160" w:after="60"/>
      </w:pPr>
      <w:r>
        <w:rPr>
          <w:b/>
          <w:color w:val="002060"/>
          <w:sz w:val="23"/>
        </w:rPr>
        <w:t>TDS under Section 194-IA</w:t>
      </w:r>
    </w:p>
    <w:p>
      <w:pPr>
        <w:jc w:val="both"/>
      </w:pPr>
      <w:r>
        <w:rPr>
          <w:b w:val="0"/>
          <w:i w:val="0"/>
        </w:rPr>
        <w:t>Where the consideration for the Property is ₹ 50,00,000 (Rupees Fifty Lakhs) or more, the Transferee shall deduct tax at source at the rate of 1% of the consideration under Section 194-IA of the Income-tax Act, 1961, deposit the same with the Government within the prescribed time, file Form 26QB, and furnish Form 16B to the Transferor. The Transferor shall provide PAN and other necessary particulars.</w:t>
      </w:r>
    </w:p>
    <w:p/>
    <w:p>
      <w:pPr>
        <w:spacing w:before="240" w:after="80"/>
        <w:pBdr>
          <w:bottom w:val="single" w:sz="6" w:space="1" w:color="002060"/>
        </w:pBdr>
      </w:pPr>
      <w:r>
        <w:rPr>
          <w:b/>
          <w:color w:val="002060"/>
          <w:sz w:val="25"/>
        </w:rPr>
        <w:t>SCHEDULE A — SCHEDULE OF PROPERTY</w:t>
      </w:r>
    </w:p>
    <w:p>
      <w:pPr>
        <w:jc w:val="both"/>
      </w:pPr>
      <w:r>
        <w:rPr>
          <w:b/>
          <w:i w:val="0"/>
        </w:rPr>
        <w:t>Description of all that piece and parcel of immovable property more particularly described hereunder, which is the subject matter of this Deed (the “Property”) and which forms the Schedule of Property referred to in the operative provisions:</w:t>
      </w:r>
    </w:p>
    <w:p/>
    <w:tbl>
      <w:tblPr>
        <w:tblW w:type="auto" w:w="0"/>
        <w:jc w:val="center"/>
        <w:tblLayout w:type="fixed"/>
        <w:tblLook w:firstColumn="1" w:firstRow="1" w:lastColumn="0" w:lastRow="0" w:noHBand="0" w:noVBand="1" w:val="04A0"/>
      </w:tblPr>
      <w:tblGrid>
        <w:gridCol w:w="4873"/>
        <w:gridCol w:w="4873"/>
      </w:tblGrid>
      <w:tr>
        <w:tc>
          <w:tcPr>
            <w:tcW w:type="dxa" w:w="3969"/>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Field</w:t>
            </w:r>
          </w:p>
        </w:tc>
        <w:tc>
          <w:tcPr>
            <w:tcW w:type="dxa" w:w="5386"/>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Particulars</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Nature of Property</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{{PROPERTY_NATURE}} (e.g., Residential Flat / Independent House / Commercial Office / Plot of Land / Agricultural Land / Industrial Shed)</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Property Address / Postal Description</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{{PROPERTY_ADDRESS}}</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Village / Mauza</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{{PROPERTY_VILLAGE}}</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Hadbast / Khasra / Survey / Hissa No.</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{{PROPERTY_SURVEY_NO}}</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Sub-District / Tehsil / Taluka</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{{PROPERTY_TEHSIL}}</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District</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{{PROPERTY_DISTRICT}}</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State</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{{PROPERTY_STATE}}</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PIN Code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{{PROPERTY_PIN}}</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Plot / House / Flat / Unit No.</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{{PROPERTY_UNIT_NO}}</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Block / Tower / Wing</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{{PROPERTY_BLOCK}}</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Floor</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{{PROPERTY_FLOOR}}</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Project / Building Name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{{PROPERTY_BUILDING_NAME}}</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Land Use / Zoning</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{{PROPERTY_LAND_USE}}</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Sub-Registrar / Registration Office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{{PROPERTY_SUB_REGISTRAR}}</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Municipal Corporation / Panchayat</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{{PROPERTY_MUNICIPAL}}</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Municipal Property Tax / House Tax No.</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{{PROPERTY_TAX_NO}}</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Electricity Connection / Consumer No.</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{{ELECTRICITY_NO}}</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Water / Sewerage Connection No.</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{{WATER_NO}}</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RERA Registration No. (if applicable)</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{{PROPERTY_RERA_NO}}</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Built-up Area (sq. ft. / sq. mt.)</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{{PROPERTY_BUILT_UP_AREA}}</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Super Built-up Area (sq. ft. / sq. mt.)</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{{PROPERTY_SUPER_AREA}}</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Carpet Area (RERA-compliant) (sq. ft. / sq. mt.)</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{{PROPERTY_CARPET_AREA}}</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Plot Area / Land Area (sq. ft. / sq. mt. / acres)</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{{PROPERTY_LAND_AREA}}</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Built-up Construction Area (if applicable)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{{PROPERTY_CONSTRUCTION_AREA}}</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Number of Bedrooms / Bathrooms / Balconies</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{{PROPERTY_ROOM_DETAILS}}</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Parking Spaces (Covered / Open)</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{{PROPERTY_PARKING}}</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Direction Facing</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{{PROPERTY_FACING}}</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Year of Construction / Possession</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{{PROPERTY_YEAR}}</w:t>
            </w:r>
          </w:p>
        </w:tc>
      </w:tr>
    </w:tbl>
    <w:p/>
    <w:p>
      <w:pPr>
        <w:spacing w:before="160" w:after="60"/>
      </w:pPr>
      <w:r>
        <w:rPr>
          <w:b/>
          <w:color w:val="002060"/>
          <w:sz w:val="23"/>
        </w:rPr>
        <w:t>BOUNDARIES OF THE PROPERTY</w:t>
      </w:r>
    </w:p>
    <w:tbl>
      <w:tblPr>
        <w:tblW w:type="auto" w:w="0"/>
        <w:jc w:val="center"/>
        <w:tblLayout w:type="fixed"/>
        <w:tblLook w:firstColumn="1" w:firstRow="1" w:lastColumn="0" w:lastRow="0" w:noHBand="0" w:noVBand="1" w:val="04A0"/>
      </w:tblPr>
      <w:tblGrid>
        <w:gridCol w:w="4873"/>
        <w:gridCol w:w="4873"/>
      </w:tblGrid>
      <w:tr>
        <w:tc>
          <w:tcPr>
            <w:tcW w:type="dxa" w:w="3118"/>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Direction</w:t>
            </w:r>
          </w:p>
        </w:tc>
        <w:tc>
          <w:tcPr>
            <w:tcW w:type="dxa" w:w="6236"/>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Boundary / Abutting Property</w:t>
            </w:r>
          </w:p>
        </w:tc>
      </w:tr>
      <w:tr>
        <w:tc>
          <w:tcPr>
            <w:tcW w:type="dxa" w:w="3118"/>
            <w:tcBorders>
              <w:top w:val="single" w:sz="4" w:color="808080"/>
              <w:left w:val="single" w:sz="4" w:color="808080"/>
              <w:bottom w:val="single" w:sz="4" w:color="808080"/>
              <w:right w:val="single" w:sz="4" w:color="808080"/>
            </w:tcBorders>
            <w:vAlign w:val="center"/>
          </w:tcPr>
          <w:p>
            <w:pPr>
              <w:jc w:val="left"/>
            </w:pPr>
            <w:r/>
            <w:r>
              <w:rPr>
                <w:b/>
                <w:sz w:val="21"/>
              </w:rPr>
              <w:t>East (पूर्व)</w:t>
            </w:r>
          </w:p>
        </w:tc>
        <w:tc>
          <w:tcPr>
            <w:tcW w:type="dxa" w:w="6236"/>
            <w:tcBorders>
              <w:top w:val="single" w:sz="4" w:color="808080"/>
              <w:left w:val="single" w:sz="4" w:color="808080"/>
              <w:bottom w:val="single" w:sz="4" w:color="808080"/>
              <w:right w:val="single" w:sz="4" w:color="808080"/>
            </w:tcBorders>
            <w:vAlign w:val="center"/>
          </w:tcPr>
          <w:p>
            <w:pPr>
              <w:jc w:val="left"/>
            </w:pPr>
            <w:r/>
            <w:r>
              <w:rPr>
                <w:sz w:val="21"/>
              </w:rPr>
              <w:t>{{PROPERTY_BOUNDARY_EAST}}</w:t>
            </w:r>
          </w:p>
        </w:tc>
      </w:tr>
      <w:tr>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West (पश्चिम)</w:t>
            </w:r>
          </w:p>
        </w:tc>
        <w:tc>
          <w:tcPr>
            <w:tcW w:type="dxa" w:w="623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{{PROPERTY_BOUNDARY_WEST}}</w:t>
            </w:r>
          </w:p>
        </w:tc>
      </w:tr>
      <w:tr>
        <w:tc>
          <w:tcPr>
            <w:tcW w:type="dxa" w:w="3118"/>
            <w:tcBorders>
              <w:top w:val="single" w:sz="4" w:color="808080"/>
              <w:left w:val="single" w:sz="4" w:color="808080"/>
              <w:bottom w:val="single" w:sz="4" w:color="808080"/>
              <w:right w:val="single" w:sz="4" w:color="808080"/>
            </w:tcBorders>
            <w:vAlign w:val="center"/>
          </w:tcPr>
          <w:p>
            <w:pPr>
              <w:jc w:val="left"/>
            </w:pPr>
            <w:r/>
            <w:r>
              <w:rPr>
                <w:b/>
                <w:sz w:val="21"/>
              </w:rPr>
              <w:t>North (उत्तर)</w:t>
            </w:r>
          </w:p>
        </w:tc>
        <w:tc>
          <w:tcPr>
            <w:tcW w:type="dxa" w:w="6236"/>
            <w:tcBorders>
              <w:top w:val="single" w:sz="4" w:color="808080"/>
              <w:left w:val="single" w:sz="4" w:color="808080"/>
              <w:bottom w:val="single" w:sz="4" w:color="808080"/>
              <w:right w:val="single" w:sz="4" w:color="808080"/>
            </w:tcBorders>
            <w:vAlign w:val="center"/>
          </w:tcPr>
          <w:p>
            <w:pPr>
              <w:jc w:val="left"/>
            </w:pPr>
            <w:r/>
            <w:r>
              <w:rPr>
                <w:sz w:val="21"/>
              </w:rPr>
              <w:t>{{PROPERTY_BOUNDARY_NORTH}}</w:t>
            </w:r>
          </w:p>
        </w:tc>
      </w:tr>
      <w:tr>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South (दक्षिण)</w:t>
            </w:r>
          </w:p>
        </w:tc>
        <w:tc>
          <w:tcPr>
            <w:tcW w:type="dxa" w:w="623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{{PROPERTY_BOUNDARY_SOUTH}}</w:t>
            </w:r>
          </w:p>
        </w:tc>
      </w:tr>
      <w:tr>
        <w:tc>
          <w:tcPr>
            <w:tcW w:type="dxa" w:w="3118"/>
            <w:tcBorders>
              <w:top w:val="single" w:sz="4" w:color="808080"/>
              <w:left w:val="single" w:sz="4" w:color="808080"/>
              <w:bottom w:val="single" w:sz="4" w:color="808080"/>
              <w:right w:val="single" w:sz="4" w:color="808080"/>
            </w:tcBorders>
            <w:vAlign w:val="center"/>
          </w:tcPr>
          <w:p>
            <w:pPr>
              <w:jc w:val="left"/>
            </w:pPr>
            <w:r/>
            <w:r>
              <w:rPr>
                <w:b/>
                <w:sz w:val="21"/>
              </w:rPr>
              <w:t>North-East (ईशान्य)</w:t>
            </w:r>
          </w:p>
        </w:tc>
        <w:tc>
          <w:tcPr>
            <w:tcW w:type="dxa" w:w="6236"/>
            <w:tcBorders>
              <w:top w:val="single" w:sz="4" w:color="808080"/>
              <w:left w:val="single" w:sz="4" w:color="808080"/>
              <w:bottom w:val="single" w:sz="4" w:color="808080"/>
              <w:right w:val="single" w:sz="4" w:color="808080"/>
            </w:tcBorders>
            <w:vAlign w:val="center"/>
          </w:tcPr>
          <w:p>
            <w:pPr>
              <w:jc w:val="left"/>
            </w:pPr>
            <w:r/>
            <w:r>
              <w:rPr>
                <w:sz w:val="21"/>
              </w:rPr>
              <w:t>{{PROPERTY_BOUNDARY_NE}}</w:t>
            </w:r>
          </w:p>
        </w:tc>
      </w:tr>
      <w:tr>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North-West (वायव्य)</w:t>
            </w:r>
          </w:p>
        </w:tc>
        <w:tc>
          <w:tcPr>
            <w:tcW w:type="dxa" w:w="623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{{PROPERTY_BOUNDARY_NW}}</w:t>
            </w:r>
          </w:p>
        </w:tc>
      </w:tr>
      <w:tr>
        <w:tc>
          <w:tcPr>
            <w:tcW w:type="dxa" w:w="3118"/>
            <w:tcBorders>
              <w:top w:val="single" w:sz="4" w:color="808080"/>
              <w:left w:val="single" w:sz="4" w:color="808080"/>
              <w:bottom w:val="single" w:sz="4" w:color="808080"/>
              <w:right w:val="single" w:sz="4" w:color="808080"/>
            </w:tcBorders>
            <w:vAlign w:val="center"/>
          </w:tcPr>
          <w:p>
            <w:pPr>
              <w:jc w:val="left"/>
            </w:pPr>
            <w:r/>
            <w:r>
              <w:rPr>
                <w:b/>
                <w:sz w:val="21"/>
              </w:rPr>
              <w:t>South-East (आग्नेय)</w:t>
            </w:r>
          </w:p>
        </w:tc>
        <w:tc>
          <w:tcPr>
            <w:tcW w:type="dxa" w:w="6236"/>
            <w:tcBorders>
              <w:top w:val="single" w:sz="4" w:color="808080"/>
              <w:left w:val="single" w:sz="4" w:color="808080"/>
              <w:bottom w:val="single" w:sz="4" w:color="808080"/>
              <w:right w:val="single" w:sz="4" w:color="808080"/>
            </w:tcBorders>
            <w:vAlign w:val="center"/>
          </w:tcPr>
          <w:p>
            <w:pPr>
              <w:jc w:val="left"/>
            </w:pPr>
            <w:r/>
            <w:r>
              <w:rPr>
                <w:sz w:val="21"/>
              </w:rPr>
              <w:t>{{PROPERTY_BOUNDARY_SE}}</w:t>
            </w:r>
          </w:p>
        </w:tc>
      </w:tr>
      <w:tr>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South-West (नैऋत्य)</w:t>
            </w:r>
          </w:p>
        </w:tc>
        <w:tc>
          <w:tcPr>
            <w:tcW w:type="dxa" w:w="623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{{PROPERTY_BOUNDARY_SW}}</w:t>
            </w:r>
          </w:p>
        </w:tc>
      </w:tr>
    </w:tbl>
    <w:p/>
    <w:p>
      <w:pPr>
        <w:jc w:val="both"/>
      </w:pPr>
      <w:r>
        <w:rPr>
          <w:b w:val="0"/>
          <w:i w:val="0"/>
        </w:rPr>
        <w:t>Together with all rights, easements, privileges, appurtenances, fixtures and fittings appertaining or in any way pertaining to the said Property; including, without limitation, rights of way, access, light, air, water, drainage, electricity, common areas and facilities, and an undivided proportionate share in the land underneath / common areas (as applicable).</w:t>
      </w:r>
    </w:p>
    <w:p/>
    <w:p>
      <w:pPr>
        <w:spacing w:before="240" w:after="80"/>
        <w:pBdr>
          <w:bottom w:val="single" w:sz="6" w:space="1" w:color="002060"/>
        </w:pBdr>
      </w:pPr>
      <w:r>
        <w:rPr>
          <w:b/>
          <w:color w:val="002060"/>
          <w:sz w:val="25"/>
        </w:rPr>
        <w:t>SCHEDULE B — DEVOLUTION OF TITLE</w:t>
      </w:r>
    </w:p>
    <w:p>
      <w:pPr>
        <w:jc w:val="both"/>
      </w:pPr>
      <w:r>
        <w:rPr>
          <w:b w:val="0"/>
          <w:i w:val="0"/>
        </w:rPr>
        <w:t>The chain of title in respect of the Property is as follows:</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737"/>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S.No.</w:t>
            </w:r>
          </w:p>
        </w:tc>
        <w:tc>
          <w:tcPr>
            <w:tcW w:type="dxa" w:w="1417"/>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Date</w:t>
            </w:r>
          </w:p>
        </w:tc>
        <w:tc>
          <w:tcPr>
            <w:tcW w:type="dxa" w:w="2835"/>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Document</w:t>
            </w:r>
          </w:p>
        </w:tc>
        <w:tc>
          <w:tcPr>
            <w:tcW w:type="dxa" w:w="2551"/>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Parties</w:t>
            </w:r>
          </w:p>
        </w:tc>
        <w:tc>
          <w:tcPr>
            <w:tcW w:type="dxa" w:w="1814"/>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Registration Particulars</w:t>
            </w:r>
          </w:p>
        </w:tc>
      </w:tr>
      <w:tr>
        <w:tc>
          <w:tcPr>
            <w:tcW w:type="dxa" w:w="737"/>
            <w:tcBorders>
              <w:top w:val="single" w:sz="4" w:color="808080"/>
              <w:left w:val="single" w:sz="4" w:color="808080"/>
              <w:bottom w:val="single" w:sz="4" w:color="808080"/>
              <w:right w:val="single" w:sz="4" w:color="808080"/>
            </w:tcBorders>
            <w:vAlign w:val="center"/>
          </w:tcPr>
          <w:p>
            <w:pPr>
              <w:jc w:val="left"/>
            </w:pPr>
            <w:r/>
            <w:r>
              <w:rPr>
                <w:b/>
                <w:sz w:val="21"/>
              </w:rPr>
              <w:t>1</w:t>
            </w:r>
          </w:p>
        </w:tc>
        <w:tc>
          <w:tcPr>
            <w:tcW w:type="dxa" w:w="1417"/>
            <w:tcBorders>
              <w:top w:val="single" w:sz="4" w:color="808080"/>
              <w:left w:val="single" w:sz="4" w:color="808080"/>
              <w:bottom w:val="single" w:sz="4" w:color="808080"/>
              <w:right w:val="single" w:sz="4" w:color="808080"/>
            </w:tcBorders>
            <w:vAlign w:val="center"/>
          </w:tcPr>
          <w:p>
            <w:pPr>
              <w:jc w:val="left"/>
            </w:pPr>
            <w:r/>
            <w:r>
              <w:rPr>
                <w:sz w:val="21"/>
              </w:rPr>
              <w:t>{{TITLE_1_DATE}}</w:t>
            </w:r>
          </w:p>
        </w:tc>
        <w:tc>
          <w:tcPr>
            <w:tcW w:type="dxa" w:w="2835"/>
            <w:tcBorders>
              <w:top w:val="single" w:sz="4" w:color="808080"/>
              <w:left w:val="single" w:sz="4" w:color="808080"/>
              <w:bottom w:val="single" w:sz="4" w:color="808080"/>
              <w:right w:val="single" w:sz="4" w:color="808080"/>
            </w:tcBorders>
            <w:vAlign w:val="center"/>
          </w:tcPr>
          <w:p>
            <w:pPr>
              <w:jc w:val="left"/>
            </w:pPr>
            <w:r/>
            <w:r>
              <w:rPr>
                <w:sz w:val="21"/>
              </w:rPr>
              <w:t>{{TITLE_1_DOC}}</w:t>
            </w:r>
          </w:p>
        </w:tc>
        <w:tc>
          <w:tcPr>
            <w:tcW w:type="dxa" w:w="2551"/>
            <w:tcBorders>
              <w:top w:val="single" w:sz="4" w:color="808080"/>
              <w:left w:val="single" w:sz="4" w:color="808080"/>
              <w:bottom w:val="single" w:sz="4" w:color="808080"/>
              <w:right w:val="single" w:sz="4" w:color="808080"/>
            </w:tcBorders>
            <w:vAlign w:val="center"/>
          </w:tcPr>
          <w:p>
            <w:pPr>
              <w:jc w:val="left"/>
            </w:pPr>
            <w:r/>
            <w:r>
              <w:rPr>
                <w:sz w:val="21"/>
              </w:rPr>
              <w:t>{{TITLE_1_PARTIES}}</w:t>
            </w:r>
          </w:p>
        </w:tc>
        <w:tc>
          <w:tcPr>
            <w:tcW w:type="dxa" w:w="1814"/>
            <w:tcBorders>
              <w:top w:val="single" w:sz="4" w:color="808080"/>
              <w:left w:val="single" w:sz="4" w:color="808080"/>
              <w:bottom w:val="single" w:sz="4" w:color="808080"/>
              <w:right w:val="single" w:sz="4" w:color="808080"/>
            </w:tcBorders>
            <w:vAlign w:val="center"/>
          </w:tcPr>
          <w:p>
            <w:pPr>
              <w:jc w:val="left"/>
            </w:pPr>
            <w:r/>
            <w:r>
              <w:rPr>
                <w:sz w:val="21"/>
              </w:rPr>
              <w:t>{{TITLE_1_REG}}</w:t>
            </w:r>
          </w:p>
        </w:tc>
      </w:tr>
      <w:tr>
        <w:tc>
          <w:tcPr>
            <w:tcW w:type="dxa" w:w="737"/>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2</w:t>
            </w:r>
          </w:p>
        </w:tc>
        <w:tc>
          <w:tcPr>
            <w:tcW w:type="dxa" w:w="1417"/>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{{TITLE_2_DATE}}</w:t>
            </w:r>
          </w:p>
        </w:tc>
        <w:tc>
          <w:tcPr>
            <w:tcW w:type="dxa" w:w="2835"/>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{{TITLE_2_DOC}}</w:t>
            </w:r>
          </w:p>
        </w:tc>
        <w:tc>
          <w:tcPr>
            <w:tcW w:type="dxa" w:w="255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{{TITLE_2_PARTIES}}</w:t>
            </w:r>
          </w:p>
        </w:tc>
        <w:tc>
          <w:tcPr>
            <w:tcW w:type="dxa" w:w="181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{{TITLE_2_REG}}</w:t>
            </w:r>
          </w:p>
        </w:tc>
      </w:tr>
      <w:tr>
        <w:tc>
          <w:tcPr>
            <w:tcW w:type="dxa" w:w="737"/>
            <w:tcBorders>
              <w:top w:val="single" w:sz="4" w:color="808080"/>
              <w:left w:val="single" w:sz="4" w:color="808080"/>
              <w:bottom w:val="single" w:sz="4" w:color="808080"/>
              <w:right w:val="single" w:sz="4" w:color="808080"/>
            </w:tcBorders>
            <w:vAlign w:val="center"/>
          </w:tcPr>
          <w:p>
            <w:pPr>
              <w:jc w:val="left"/>
            </w:pPr>
            <w:r/>
            <w:r>
              <w:rPr>
                <w:b/>
                <w:sz w:val="21"/>
              </w:rPr>
              <w:t>3</w:t>
            </w:r>
          </w:p>
        </w:tc>
        <w:tc>
          <w:tcPr>
            <w:tcW w:type="dxa" w:w="1417"/>
            <w:tcBorders>
              <w:top w:val="single" w:sz="4" w:color="808080"/>
              <w:left w:val="single" w:sz="4" w:color="808080"/>
              <w:bottom w:val="single" w:sz="4" w:color="808080"/>
              <w:right w:val="single" w:sz="4" w:color="808080"/>
            </w:tcBorders>
            <w:vAlign w:val="center"/>
          </w:tcPr>
          <w:p>
            <w:pPr>
              <w:jc w:val="left"/>
            </w:pPr>
            <w:r/>
            <w:r>
              <w:rPr>
                <w:sz w:val="21"/>
              </w:rPr>
              <w:t>{{TITLE_3_DATE}}</w:t>
            </w:r>
          </w:p>
        </w:tc>
        <w:tc>
          <w:tcPr>
            <w:tcW w:type="dxa" w:w="2835"/>
            <w:tcBorders>
              <w:top w:val="single" w:sz="4" w:color="808080"/>
              <w:left w:val="single" w:sz="4" w:color="808080"/>
              <w:bottom w:val="single" w:sz="4" w:color="808080"/>
              <w:right w:val="single" w:sz="4" w:color="808080"/>
            </w:tcBorders>
            <w:vAlign w:val="center"/>
          </w:tcPr>
          <w:p>
            <w:pPr>
              <w:jc w:val="left"/>
            </w:pPr>
            <w:r/>
            <w:r>
              <w:rPr>
                <w:sz w:val="21"/>
              </w:rPr>
              <w:t>{{TITLE_3_DOC}}</w:t>
            </w:r>
          </w:p>
        </w:tc>
        <w:tc>
          <w:tcPr>
            <w:tcW w:type="dxa" w:w="2551"/>
            <w:tcBorders>
              <w:top w:val="single" w:sz="4" w:color="808080"/>
              <w:left w:val="single" w:sz="4" w:color="808080"/>
              <w:bottom w:val="single" w:sz="4" w:color="808080"/>
              <w:right w:val="single" w:sz="4" w:color="808080"/>
            </w:tcBorders>
            <w:vAlign w:val="center"/>
          </w:tcPr>
          <w:p>
            <w:pPr>
              <w:jc w:val="left"/>
            </w:pPr>
            <w:r/>
            <w:r>
              <w:rPr>
                <w:sz w:val="21"/>
              </w:rPr>
              <w:t>{{TITLE_3_PARTIES}}</w:t>
            </w:r>
          </w:p>
        </w:tc>
        <w:tc>
          <w:tcPr>
            <w:tcW w:type="dxa" w:w="1814"/>
            <w:tcBorders>
              <w:top w:val="single" w:sz="4" w:color="808080"/>
              <w:left w:val="single" w:sz="4" w:color="808080"/>
              <w:bottom w:val="single" w:sz="4" w:color="808080"/>
              <w:right w:val="single" w:sz="4" w:color="808080"/>
            </w:tcBorders>
            <w:vAlign w:val="center"/>
          </w:tcPr>
          <w:p>
            <w:pPr>
              <w:jc w:val="left"/>
            </w:pPr>
            <w:r/>
            <w:r>
              <w:rPr>
                <w:sz w:val="21"/>
              </w:rPr>
              <w:t>{{TITLE_3_REG}}</w:t>
            </w:r>
          </w:p>
        </w:tc>
      </w:tr>
      <w:tr>
        <w:tc>
          <w:tcPr>
            <w:tcW w:type="dxa" w:w="737"/>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4</w:t>
            </w:r>
          </w:p>
        </w:tc>
        <w:tc>
          <w:tcPr>
            <w:tcW w:type="dxa" w:w="1417"/>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{{TITLE_4_DATE}}</w:t>
            </w:r>
          </w:p>
        </w:tc>
        <w:tc>
          <w:tcPr>
            <w:tcW w:type="dxa" w:w="2835"/>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{{TITLE_4_DOC}}</w:t>
            </w:r>
          </w:p>
        </w:tc>
        <w:tc>
          <w:tcPr>
            <w:tcW w:type="dxa" w:w="255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{{TITLE_4_PARTIES}}</w:t>
            </w:r>
          </w:p>
        </w:tc>
        <w:tc>
          <w:tcPr>
            <w:tcW w:type="dxa" w:w="181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{{TITLE_4_REG}}</w:t>
            </w:r>
          </w:p>
        </w:tc>
      </w:tr>
    </w:tbl>
    <w:p/>
    <w:p>
      <w:pPr>
        <w:spacing w:before="240" w:after="80"/>
        <w:pBdr>
          <w:bottom w:val="single" w:sz="6" w:space="1" w:color="002060"/>
        </w:pBdr>
      </w:pPr>
      <w:r>
        <w:rPr>
          <w:b/>
          <w:color w:val="002060"/>
          <w:sz w:val="25"/>
        </w:rPr>
        <w:t>IN WITNESS WHEREOF</w:t>
      </w:r>
    </w:p>
    <w:p>
      <w:pPr>
        <w:jc w:val="both"/>
      </w:pPr>
      <w:r>
        <w:rPr>
          <w:b/>
          <w:i w:val="0"/>
        </w:rPr>
        <w:t>IN WITNESS WHEREOF the Parties hereto have set their respective hands and signed this Deed on the day, month and year first above written, in the presence of the witnesses attesting hereunder.</w:t>
      </w:r>
    </w:p>
    <w:p/>
    <w:p>
      <w:pPr>
        <w:spacing w:before="160" w:after="60"/>
      </w:pPr>
      <w:r>
        <w:rPr>
          <w:b/>
          <w:color w:val="002060"/>
          <w:sz w:val="23"/>
        </w:rPr>
        <w:t>SIGNED, SEALED AND DELIVERED BY THE VENDOR:</w:t>
      </w:r>
    </w:p>
    <w:p>
      <w:pPr>
        <w:jc w:val="both"/>
      </w:pPr>
      <w:r>
        <w:rPr>
          <w:b w:val="0"/>
          <w:i w:val="0"/>
        </w:rPr>
        <w:t>_________________________________</w:t>
      </w:r>
    </w:p>
    <w:p>
      <w:pPr>
        <w:jc w:val="both"/>
      </w:pPr>
      <w:r>
        <w:rPr>
          <w:b/>
          <w:i w:val="0"/>
        </w:rPr>
        <w:t>{{VENDOR_NAME}}</w:t>
      </w:r>
    </w:p>
    <w:p>
      <w:pPr>
        <w:jc w:val="both"/>
      </w:pPr>
      <w:r>
        <w:rPr>
          <w:b w:val="0"/>
          <w:i w:val="0"/>
        </w:rPr>
        <w:t>(Vendor)</w:t>
      </w:r>
    </w:p>
    <w:p>
      <w:pPr>
        <w:jc w:val="both"/>
      </w:pPr>
      <w:r>
        <w:rPr>
          <w:b w:val="0"/>
          <w:i w:val="0"/>
        </w:rPr>
        <w:t>Photograph / Thumb impression of {{VENDOR_NAME}} is affixed at the place provided in this Deed and the same is duly attested by the witnesses below.</w:t>
      </w:r>
    </w:p>
    <w:p/>
    <w:p>
      <w:pPr>
        <w:spacing w:before="160" w:after="60"/>
      </w:pPr>
      <w:r>
        <w:rPr>
          <w:b/>
          <w:color w:val="002060"/>
          <w:sz w:val="23"/>
        </w:rPr>
        <w:t>SIGNED, SEALED AND DELIVERED BY THE PURCHASER:</w:t>
      </w:r>
    </w:p>
    <w:p>
      <w:pPr>
        <w:jc w:val="both"/>
      </w:pPr>
      <w:r>
        <w:rPr>
          <w:b w:val="0"/>
          <w:i w:val="0"/>
        </w:rPr>
        <w:t>_________________________________</w:t>
      </w:r>
    </w:p>
    <w:p>
      <w:pPr>
        <w:jc w:val="both"/>
      </w:pPr>
      <w:r>
        <w:rPr>
          <w:b/>
          <w:i w:val="0"/>
        </w:rPr>
        <w:t>{{PURCHASER_NAME}}</w:t>
      </w:r>
    </w:p>
    <w:p>
      <w:pPr>
        <w:jc w:val="both"/>
      </w:pPr>
      <w:r>
        <w:rPr>
          <w:b w:val="0"/>
          <w:i w:val="0"/>
        </w:rPr>
        <w:t>(Purchaser)</w:t>
      </w:r>
    </w:p>
    <w:p>
      <w:pPr>
        <w:jc w:val="both"/>
      </w:pPr>
      <w:r>
        <w:rPr>
          <w:b w:val="0"/>
          <w:i w:val="0"/>
        </w:rPr>
        <w:t>Photograph / Thumb impression of {{PURCHASER_NAME}} is affixed at the place provided in this Deed and the same is duly attested by the witnesses below.</w:t>
      </w:r>
    </w:p>
    <w:p/>
    <w:p>
      <w:pPr>
        <w:spacing w:before="160" w:after="60"/>
      </w:pPr>
      <w:r>
        <w:rPr>
          <w:b/>
          <w:color w:val="002060"/>
          <w:sz w:val="23"/>
        </w:rPr>
        <w:t>ATTESTED BY (in accordance with Section 3 of the Transfer of Property Act, 1882):</w:t>
      </w:r>
    </w:p>
    <w:p>
      <w:pPr>
        <w:jc w:val="both"/>
      </w:pPr>
      <w:r>
        <w:rPr>
          <w:b/>
          <w:i w:val="0"/>
        </w:rPr>
        <w:t>Witness 1:</w:t>
      </w:r>
    </w:p>
    <w:p>
      <w:pPr>
        <w:jc w:val="both"/>
      </w:pPr>
      <w:r>
        <w:rPr>
          <w:b w:val="0"/>
          <w:i w:val="0"/>
        </w:rPr>
        <w:t>Name: {{WITNESS_1_NAME}}</w:t>
      </w:r>
    </w:p>
    <w:p>
      <w:pPr>
        <w:jc w:val="both"/>
      </w:pPr>
      <w:r>
        <w:rPr>
          <w:b w:val="0"/>
          <w:i w:val="0"/>
        </w:rPr>
        <w:t>S/o, D/o, W/o: {{WITNESS_1_PARENT_NAME}}; Age: {{WITNESS_1_AGE}}; Occupation: {{WITNESS_1_OCCUPATION}}</w:t>
      </w:r>
    </w:p>
    <w:p>
      <w:pPr>
        <w:jc w:val="both"/>
      </w:pPr>
      <w:r>
        <w:rPr>
          <w:b w:val="0"/>
          <w:i w:val="0"/>
        </w:rPr>
        <w:t>Address: {{WITNESS_1_ADDRESS}}</w:t>
      </w:r>
    </w:p>
    <w:p>
      <w:pPr>
        <w:jc w:val="both"/>
      </w:pPr>
      <w:r>
        <w:rPr>
          <w:b w:val="0"/>
          <w:i w:val="0"/>
        </w:rPr>
        <w:t>PAN / Aadhaar (last 4): {{WITNESS_1_ID}}</w:t>
      </w:r>
    </w:p>
    <w:p>
      <w:pPr>
        <w:jc w:val="both"/>
      </w:pPr>
      <w:r>
        <w:rPr>
          <w:b w:val="0"/>
          <w:i w:val="0"/>
        </w:rPr>
        <w:t>Signature: _________________________________</w:t>
      </w:r>
    </w:p>
    <w:p/>
    <w:p>
      <w:pPr>
        <w:jc w:val="both"/>
      </w:pPr>
      <w:r>
        <w:rPr>
          <w:b/>
          <w:i w:val="0"/>
        </w:rPr>
        <w:t>Witness 2:</w:t>
      </w:r>
    </w:p>
    <w:p>
      <w:pPr>
        <w:jc w:val="both"/>
      </w:pPr>
      <w:r>
        <w:rPr>
          <w:b w:val="0"/>
          <w:i w:val="0"/>
        </w:rPr>
        <w:t>Name: {{WITNESS_2_NAME}}</w:t>
      </w:r>
    </w:p>
    <w:p>
      <w:pPr>
        <w:jc w:val="both"/>
      </w:pPr>
      <w:r>
        <w:rPr>
          <w:b w:val="0"/>
          <w:i w:val="0"/>
        </w:rPr>
        <w:t>S/o, D/o, W/o: {{WITNESS_2_PARENT_NAME}}; Age: {{WITNESS_2_AGE}}; Occupation: {{WITNESS_2_OCCUPATION}}</w:t>
      </w:r>
    </w:p>
    <w:p>
      <w:pPr>
        <w:jc w:val="both"/>
      </w:pPr>
      <w:r>
        <w:rPr>
          <w:b w:val="0"/>
          <w:i w:val="0"/>
        </w:rPr>
        <w:t>Address: {{WITNESS_2_ADDRESS}}</w:t>
      </w:r>
    </w:p>
    <w:p>
      <w:pPr>
        <w:jc w:val="both"/>
      </w:pPr>
      <w:r>
        <w:rPr>
          <w:b w:val="0"/>
          <w:i w:val="0"/>
        </w:rPr>
        <w:t>PAN / Aadhaar (last 4): {{WITNESS_2_ID}}</w:t>
      </w:r>
    </w:p>
    <w:p>
      <w:pPr>
        <w:jc w:val="both"/>
      </w:pPr>
      <w:r>
        <w:rPr>
          <w:b w:val="0"/>
          <w:i w:val="0"/>
        </w:rPr>
        <w:t>Signature: _________________________________</w:t>
      </w:r>
    </w:p>
    <w:p/>
    <w:p>
      <w:pPr>
        <w:spacing w:before="160" w:after="60"/>
      </w:pPr>
      <w:r>
        <w:rPr>
          <w:b/>
          <w:color w:val="002060"/>
          <w:sz w:val="23"/>
        </w:rPr>
        <w:t>DRAFTED BY</w:t>
      </w:r>
    </w:p>
    <w:p>
      <w:pPr>
        <w:jc w:val="both"/>
      </w:pPr>
      <w:r>
        <w:rPr>
          <w:b w:val="0"/>
          <w:i w:val="0"/>
        </w:rPr>
        <w:t>{{DRAFTED_BY_ADVOCATE_NAME}}, Advocate, Enrolment No. {{DRAFTED_BY_ENROLMENT_NO}} of the Bar Council of {{DRAFTED_BY_BAR_COUNCIL_STATE}}, {{DRAFTED_BY_ADDRESS}}.</w:t>
      </w:r>
    </w:p>
    <w:p/>
    <w:p>
      <w:pPr>
        <w:spacing w:before="160" w:after="60"/>
      </w:pPr>
      <w:r>
        <w:rPr>
          <w:b/>
          <w:color w:val="002060"/>
          <w:sz w:val="23"/>
        </w:rPr>
        <w:t>IDENTIFIED BEFORE ME</w:t>
      </w:r>
    </w:p>
    <w:p>
      <w:pPr>
        <w:jc w:val="both"/>
      </w:pPr>
      <w:r>
        <w:rPr>
          <w:b w:val="0"/>
          <w:i w:val="0"/>
        </w:rPr>
        <w:t>I, {{IDENTIFIER_NAME}}, Advocate / Notary Public, hereby identify the Executants who have signed this Deed in my presence and I have verified their photo identification documents.</w:t>
      </w:r>
    </w:p>
    <w:p>
      <w:pPr>
        <w:jc w:val="both"/>
      </w:pPr>
      <w:r>
        <w:rPr>
          <w:b w:val="0"/>
          <w:i w:val="0"/>
        </w:rPr>
        <w:t>Signature: _________________________________</w:t>
      </w:r>
    </w:p>
    <w:p>
      <w:pPr>
        <w:jc w:val="both"/>
      </w:pPr>
      <w:r>
        <w:rPr>
          <w:b w:val="0"/>
          <w:i w:val="0"/>
        </w:rPr>
        <w:t>Name: {{IDENTIFIER_NAME}}</w:t>
      </w:r>
    </w:p>
    <w:p>
      <w:pPr>
        <w:jc w:val="both"/>
      </w:pPr>
      <w:r>
        <w:rPr>
          <w:b w:val="0"/>
          <w:i w:val="0"/>
        </w:rPr>
        <w:t>Enrolment / Notary Reg. No.: {{IDENTIFIER_ENROLMENT_NO}}</w:t>
      </w:r>
    </w:p>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