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AGREEMENT TO SELL</w:t>
      </w:r>
    </w:p>
    <w:p>
      <w:pPr>
        <w:spacing w:before="200" w:after="160"/>
        <w:jc w:val="center"/>
      </w:pPr>
      <w:r>
        <w:rPr>
          <w:b/>
          <w:color w:val="002060"/>
          <w:sz w:val="26"/>
        </w:rPr>
        <w:t>(Detailed Pre-Sale Agreement with Conditions Precedent, Title Diligence and Specific Performance under Section 10 of the Specific Relief Act, 1963)</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Agreement to Sell (Pre-contract preceding the Sale Deed)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As per the State Stamp Act, typically on the earnest money / advance plus penalty if balance consideration is not paid within the time stipulated; in some States (e.g., Maharashtra), full ad valorem duty is paid at this stage.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OPTIONAL under Section 17 of the Registration Act, 1908 (registration recommended); compulsorily registrable in Maharashtra (under MOFA / RERA), and in few other States with effect from State-specific amendments. Per Suraj Lamp &amp; Industries v. State of Haryana, (2012) 1 SCC 656, this Agreement does not, by itself, transfer title; the Sale Deed is required for transfer of ownership.</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AGREEMENT TO SELL (this “Deed”) is made and executed at {{EXECUTION_PLACE}} on this {{EXECUTION_DAY}} day of {{EXECUTION_MONTH}}, {{EXECUTION_YEAR}}</w:t>
      </w:r>
    </w:p>
    <w:p/>
    <w:p>
      <w:pPr>
        <w:jc w:val="both"/>
      </w:pPr>
      <w:r>
        <w:rPr>
          <w:b/>
          <w:i w:val="0"/>
        </w:rPr>
        <w:t>BY AND BETWEEN</w:t>
      </w:r>
    </w:p>
    <w:p>
      <w:pPr>
        <w:jc w:val="both"/>
      </w:pPr>
      <w:r>
        <w:rPr>
          <w:b/>
        </w:rPr>
        <w:t xml:space="preserve">{{VENDOR_NAME}}, </w:t>
      </w:r>
      <w:r>
        <w:t>aged about {{VENDOR_AGE}} years, S/o / D/o / W/o {{VENDOR_PARENT_NAME}}, by faith {{VENDOR_RELIGION}}, by nationality Indian, by occupation {{VENDOR_OCCUPATION}}, holding PAN {{VENDOR_PAN}} and Aadhaar No. (last 4 digits) XXXX-XXXX-{{VENDOR_AADHAAR_LAST4}}, permanent resident of and presently residing at {{VENDOR_ADDRESS}} (hereinafter referred to as the “VENDOR”,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{{PURCHASER_NAME}}, </w:t>
      </w:r>
      <w:r>
        <w:t>aged about {{PURCHASER_AGE}} years, S/o / D/o / W/o {{PURCHASER_PARENT_NAME}}, by faith {{PURCHASER_RELIGION}}, by nationality Indian, by occupation {{PURCHASER_OCCUPATION}}, holding PAN {{PURCHASER_PAN}} and Aadhaar No. (last 4 digits) XXXX-XXXX-{{PURCHASER_AADHAAR_LAST4}}, permanent resident of and presently residing at {{PURCHASER_ADDRESS}} (hereinafter referred to as the “PURCHASER”, which expression shall, unless repugnant to the context or meaning thereof, mean and include his / her / their heirs, executors, administrators, legal representatives, successors and permitted assigns), of the OF THE SECOND PART;</w:t>
      </w:r>
    </w:p>
    <w:p/>
    <w:p/>
    <w:p>
      <w:pPr>
        <w:jc w:val="both"/>
      </w:pPr>
      <w:r>
        <w:rPr>
          <w:b/>
          <w:i w:val="0"/>
        </w:rPr>
        <w:t>WHEREAS:</w:t>
      </w:r>
    </w:p>
    <w:p/>
    <w:p>
      <w:pPr>
        <w:jc w:val="both"/>
      </w:pPr>
      <w:r>
        <w:rPr>
          <w:b/>
        </w:rPr>
        <w:t xml:space="preserve">(A)  </w:t>
      </w:r>
      <w:r>
        <w:t>the Vendor is the absolute, exclusive and lawful owner of, seised and possessed of, the Property more particularly described in Schedule A hereto, having acquired the same through the chain of title set out in Schedule B;</w:t>
      </w:r>
    </w:p>
    <w:p>
      <w:pPr>
        <w:jc w:val="both"/>
      </w:pPr>
      <w:r>
        <w:rPr>
          <w:b/>
        </w:rPr>
        <w:t xml:space="preserve">(B)  </w:t>
      </w:r>
      <w:r>
        <w:t>the Property is free from all encumbrances, mortgages, charges, liens, attachments, lis pendens, leases, tenancies, prior agreements to sell or transfer, and any rights of third parties;</w:t>
      </w:r>
    </w:p>
    <w:p>
      <w:pPr>
        <w:jc w:val="both"/>
      </w:pPr>
      <w:r>
        <w:rPr>
          <w:b/>
        </w:rPr>
        <w:t xml:space="preserve">(C)  </w:t>
      </w:r>
      <w:r>
        <w:t>the Purchaser has approached the Vendor for the purchase of the Property at and for the total consideration of ₹ {{TOTAL_CONSIDERATION_INR}} (Rupees {{TOTAL_CONSIDERATION_WORDS}} only), being fair market value not less than the circle rate / ready reckoner value under Section 50C of the Income-tax Act, 1961;</w:t>
      </w:r>
    </w:p>
    <w:p>
      <w:pPr>
        <w:jc w:val="both"/>
      </w:pPr>
      <w:r>
        <w:rPr>
          <w:b/>
        </w:rPr>
        <w:t xml:space="preserve">(D)  </w:t>
      </w:r>
      <w:r>
        <w:t>the Parties have, after due negotiations, mutually agreed on the principal commercial and legal terms of the sale, subject to satisfaction of the Conditions Precedent set out herein, and intend to formalise the same by way of this Agreement to Sell, with the principal Sale Deed to be executed on satisfaction of the said Conditions Precedent.</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DEFINITIONS. </w:t>
      </w:r>
      <w:r>
        <w:t>In this Agreement, unless the context otherwise requires:</w:t>
      </w:r>
    </w:p>
    <w:p>
      <w:pPr>
        <w:spacing w:before="40"/>
        <w:ind w:left="454"/>
        <w:jc w:val="both"/>
      </w:pPr>
      <w:r>
        <w:rPr>
          <w:b/>
        </w:rPr>
        <w:t xml:space="preserve">• </w:t>
      </w:r>
      <w:r>
        <w:t>“Property” means the immovable property more particularly described in Schedule A hereto.</w:t>
      </w:r>
    </w:p>
    <w:p>
      <w:pPr>
        <w:spacing w:before="40"/>
        <w:ind w:left="454"/>
        <w:jc w:val="both"/>
      </w:pPr>
      <w:r>
        <w:rPr>
          <w:b/>
        </w:rPr>
        <w:t xml:space="preserve">• </w:t>
      </w:r>
      <w:r>
        <w:t>“Total Consideration” means the total purchase price of ₹ {{TOTAL_CONSIDERATION_INR}}.</w:t>
      </w:r>
    </w:p>
    <w:p>
      <w:pPr>
        <w:spacing w:before="40"/>
        <w:ind w:left="454"/>
        <w:jc w:val="both"/>
      </w:pPr>
      <w:r>
        <w:rPr>
          <w:b/>
        </w:rPr>
        <w:t xml:space="preserve">• </w:t>
      </w:r>
      <w:r>
        <w:t>“Earnest Money / Token Money” means the sum of ₹ {{EARNEST_MONEY_INR}} paid on or before execution hereof.</w:t>
      </w:r>
    </w:p>
    <w:p>
      <w:pPr>
        <w:spacing w:before="40"/>
        <w:ind w:left="454"/>
        <w:jc w:val="both"/>
      </w:pPr>
      <w:r>
        <w:rPr>
          <w:b/>
        </w:rPr>
        <w:t xml:space="preserve">• </w:t>
      </w:r>
      <w:r>
        <w:t>“Conditions Precedent” means the conditions set out in Clause 3 and Schedule D, all of which must be satisfied before the Sale Deed is executed.</w:t>
      </w:r>
    </w:p>
    <w:p>
      <w:pPr>
        <w:spacing w:before="40"/>
        <w:ind w:left="454"/>
        <w:jc w:val="both"/>
      </w:pPr>
      <w:r>
        <w:rPr>
          <w:b/>
        </w:rPr>
        <w:t xml:space="preserve">• </w:t>
      </w:r>
      <w:r>
        <w:t>“Long-Stop Date” means {{LONG_STOP_DATE}}, being the outside date by which the Sale Deed must be executed and registered.</w:t>
      </w:r>
    </w:p>
    <w:p>
      <w:pPr>
        <w:spacing w:before="40"/>
        <w:ind w:left="454"/>
        <w:jc w:val="both"/>
      </w:pPr>
      <w:r>
        <w:rPr>
          <w:b/>
        </w:rPr>
        <w:t xml:space="preserve">• </w:t>
      </w:r>
      <w:r>
        <w:t>“Sale Deed” means the principal Sale / Conveyance Deed in respect of the Property, to be executed and registered on satisfaction of all Conditions Precedent.</w:t>
      </w:r>
    </w:p>
    <w:p>
      <w:pPr>
        <w:spacing w:before="80"/>
        <w:jc w:val="both"/>
      </w:pPr>
      <w:r>
        <w:rPr>
          <w:b/>
        </w:rPr>
        <w:t xml:space="preserve">2. </w:t>
      </w:r>
      <w:r>
        <w:rPr>
          <w:b/>
        </w:rPr>
        <w:t xml:space="preserve">SALE AND PURCHASE. </w:t>
      </w:r>
      <w:r>
        <w:t>Subject to satisfaction (or waiver, where permissible) of the Conditions Precedent, the Vendor agrees to sell and the Purchaser agrees to purchase the Property, free from all encumbrances and with vacant peaceful possession, for the Total Consideration.</w:t>
      </w:r>
    </w:p>
    <w:p>
      <w:pPr>
        <w:spacing w:before="80"/>
        <w:jc w:val="both"/>
      </w:pPr>
      <w:r>
        <w:rPr>
          <w:b/>
        </w:rPr>
        <w:t xml:space="preserve">3. </w:t>
      </w:r>
      <w:r>
        <w:rPr>
          <w:b/>
        </w:rPr>
        <w:t xml:space="preserve">CONDITIONS PRECEDENT TO SALE DEED. </w:t>
      </w:r>
      <w:r>
        <w:t>The obligation of the Purchaser to pay the Balance Consideration and to execute the Sale Deed is conditional upon satisfaction (or written waiver by the Purchaser) of each of the following Conditions Precedent (the “Conditions Precedent”):</w:t>
      </w:r>
    </w:p>
    <w:p>
      <w:pPr>
        <w:spacing w:before="40"/>
        <w:ind w:left="454"/>
        <w:jc w:val="both"/>
      </w:pPr>
      <w:r>
        <w:rPr>
          <w:b/>
        </w:rPr>
        <w:t xml:space="preserve">3.1 </w:t>
      </w:r>
      <w:r>
        <w:t>completion by the Purchaser of a satisfactory legal due diligence on the title to the Property, including: (i) examination of the chain of title for not less than 30 years; (ii) Encumbrance Certificate for 30 years from the Sub-Registrar; (iii) verification of mutation entries; (iv) verification of property tax / municipal tax / society dues; (v) examination of building plan / sanction / occupation / completion certificates; (vi) verification of RERA registration where applicable; (vii) inspection of physical possession;</w:t>
      </w:r>
    </w:p>
    <w:p>
      <w:pPr>
        <w:spacing w:before="40"/>
        <w:ind w:left="454"/>
        <w:jc w:val="both"/>
      </w:pPr>
      <w:r>
        <w:rPr>
          <w:b/>
        </w:rPr>
        <w:t xml:space="preserve">3.2 </w:t>
      </w:r>
      <w:r>
        <w:t>obtaining of all consents, approvals, no-objection certificates and clearances required by law from: (a) the Co-operative Housing Society / Association of Apartment Owners; (b) the builder / developer; (c) the State / Municipal authorities; (d) the lending bank in case of subsisting mortgage / loan, including release / no-dues letter; (e) Income-tax clearance under Section 281 of the Income-tax Act, 1961, where applicable; (f) RBI approval, where applicable, in case of NRI / foreign-resident Vendor;</w:t>
      </w:r>
    </w:p>
    <w:p>
      <w:pPr>
        <w:spacing w:before="40"/>
        <w:ind w:left="454"/>
        <w:jc w:val="both"/>
      </w:pPr>
      <w:r>
        <w:rPr>
          <w:b/>
        </w:rPr>
        <w:t xml:space="preserve">3.3 </w:t>
      </w:r>
      <w:r>
        <w:t>removal / discharge by the Vendor of all subsisting encumbrances, mortgages, charges and liens on the Property, including obtaining a release letter from the lending bank, and registration of the satisfaction of mortgage at the Sub-Registrar / CERSAI;</w:t>
      </w:r>
    </w:p>
    <w:p>
      <w:pPr>
        <w:spacing w:before="40"/>
        <w:ind w:left="454"/>
        <w:jc w:val="both"/>
      </w:pPr>
      <w:r>
        <w:rPr>
          <w:b/>
        </w:rPr>
        <w:t xml:space="preserve">3.4 </w:t>
      </w:r>
      <w:r>
        <w:t>delivery by the Vendor of physically clear, vacant, unobstructed possession of the Property, with eviction of all tenants, occupants and licensees, and removal of all personal effects of the Vendor and third parties;</w:t>
      </w:r>
    </w:p>
    <w:p>
      <w:pPr>
        <w:spacing w:before="40"/>
        <w:ind w:left="454"/>
        <w:jc w:val="both"/>
      </w:pPr>
      <w:r>
        <w:rPr>
          <w:b/>
        </w:rPr>
        <w:t xml:space="preserve">3.5 </w:t>
      </w:r>
      <w:r>
        <w:t>the representations and warranties of the Vendor remaining true, accurate and complete in all material respects as on the Sale Deed execution date;</w:t>
      </w:r>
    </w:p>
    <w:p>
      <w:pPr>
        <w:spacing w:before="40"/>
        <w:ind w:left="454"/>
        <w:jc w:val="both"/>
      </w:pPr>
      <w:r>
        <w:rPr>
          <w:b/>
        </w:rPr>
        <w:t xml:space="preserve">3.6 </w:t>
      </w:r>
      <w:r>
        <w:t>no insolvency / winding up / criminal / civil proceeding having been initiated against the Vendor that would affect the Property or the Vendor’s title or capacity to convey the Property;</w:t>
      </w:r>
    </w:p>
    <w:p>
      <w:pPr>
        <w:spacing w:before="40"/>
        <w:ind w:left="454"/>
        <w:jc w:val="both"/>
      </w:pPr>
      <w:r>
        <w:rPr>
          <w:b/>
        </w:rPr>
        <w:t xml:space="preserve">3.7 </w:t>
      </w:r>
      <w:r>
        <w:t>obtaining of fresh KYC documents and updated certified copies of all chain-of-title documents;</w:t>
      </w:r>
    </w:p>
    <w:p>
      <w:pPr>
        <w:spacing w:before="40"/>
        <w:ind w:left="454"/>
        <w:jc w:val="both"/>
      </w:pPr>
      <w:r>
        <w:rPr>
          <w:b/>
        </w:rPr>
        <w:t xml:space="preserve">3.8 </w:t>
      </w:r>
      <w:r>
        <w:t>no material adverse change in the condition / title / value of the Property between the date hereof and the Sale Deed execution date.</w:t>
      </w:r>
    </w:p>
    <w:p>
      <w:pPr>
        <w:spacing w:before="80"/>
        <w:jc w:val="both"/>
      </w:pPr>
      <w:r>
        <w:rPr>
          <w:b/>
        </w:rPr>
        <w:t xml:space="preserve">4. </w:t>
      </w:r>
      <w:r>
        <w:rPr>
          <w:b/>
        </w:rPr>
        <w:t xml:space="preserve">TOTAL CONSIDERATION AND PAYMENT SCHEDULE. </w:t>
      </w:r>
      <w:r>
        <w:t>The Total Consideration of ₹ {{TOTAL_CONSIDERATION_INR}} (Rupees {{TOTAL_CONSIDERATION_WORDS}} only) shall be paid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Tranche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Trigger / Milestone</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Payable On / Before</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Mode of Payment</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Earnest Money / Token at execution</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{{EARNEST_MONEY_INR}}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On execution</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NEFT / RTGS</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completion of title due diligence</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{{TRANCHE_2_INR}}</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{{TRANCHE_2_DATE}}</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NEFT / RTGS</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On bank loan disbursement (where applicable)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{{TRANCHE_3_INR}}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{{TRANCHE_3_DATE}}</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Banker’s cheque</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Balance Consideration at execution of Sale Deed</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{{TRANCHE_4_INR}}</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At Sub-Registrar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 Order / NEFT / RTGS</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TOTAL CONSIDERATION</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{{TOTAL_CONSIDERATION_INR}}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w:t>
            </w:r>
          </w:p>
        </w:tc>
      </w:tr>
    </w:tbl>
    <w:p/>
    <w:p>
      <w:pPr>
        <w:spacing w:before="80"/>
        <w:jc w:val="both"/>
      </w:pPr>
      <w:r>
        <w:rPr>
          <w:b/>
        </w:rPr>
        <w:t xml:space="preserve">5. </w:t>
      </w:r>
      <w:r>
        <w:rPr>
          <w:b/>
        </w:rPr>
        <w:t xml:space="preserve">LONG-STOP DATE AND TIME OF THE ESSENCE. </w:t>
      </w:r>
      <w:r>
        <w:t>Time is of the essence of this Agreement. The Sale Deed shall be executed and registered on or before the Long-Stop Date, viz., {{LONG_STOP_DATE}}. The Long-Stop Date may be extended only by mutual written consent of the Parties.</w:t>
      </w:r>
    </w:p>
    <w:p>
      <w:pPr>
        <w:spacing w:before="80"/>
        <w:jc w:val="both"/>
      </w:pPr>
      <w:r>
        <w:rPr>
          <w:b/>
        </w:rPr>
        <w:t xml:space="preserve">6. </w:t>
      </w:r>
      <w:r>
        <w:rPr>
          <w:b/>
        </w:rPr>
        <w:t xml:space="preserve">REPRESENTATIONS AND WARRANTIES OF THE VENDOR. </w:t>
      </w:r>
      <w:r>
        <w:t>[See detailed representations and warranties set out below.]</w:t>
      </w:r>
    </w:p>
    <w:p>
      <w:pPr>
        <w:spacing w:before="240" w:after="80"/>
        <w:pBdr>
          <w:bottom w:val="single" w:sz="6" w:space="1" w:color="002060"/>
        </w:pBdr>
      </w:pPr>
      <w:r>
        <w:rPr>
          <w:b/>
          <w:color w:val="002060"/>
          <w:sz w:val="25"/>
        </w:rPr>
        <w:t>REPRESENTATIONS, WARRANTIES &amp; COVENANTS OF THE Vendor</w:t>
      </w:r>
    </w:p>
    <w:p>
      <w:pPr>
        <w:jc w:val="both"/>
      </w:pPr>
      <w:r>
        <w:rPr>
          <w:b w:val="0"/>
          <w:i w:val="0"/>
        </w:rPr>
        <w:t>The Vendor hereby represents, warrants, declares and covenants with the Transferee that:</w:t>
      </w:r>
    </w:p>
    <w:p>
      <w:pPr>
        <w:spacing w:before="40"/>
        <w:ind w:left="454"/>
        <w:jc w:val="both"/>
      </w:pPr>
      <w:r>
        <w:rPr>
          <w:b/>
        </w:rPr>
        <w:t xml:space="preserve">1. </w:t>
      </w:r>
      <w:r>
        <w:t>the Property hereby transferred is the absolute, exclusive and self-acquired / ancestral / coparcenary property of the Transferor, and the Transferor has good, marketable, valid, subsisting, transferable, indefeasible and absolute title and right to convey the same in accordance with the chain of title set out in Schedule B;</w:t>
      </w:r>
    </w:p>
    <w:p>
      <w:pPr>
        <w:spacing w:before="40"/>
        <w:ind w:left="454"/>
        <w:jc w:val="both"/>
      </w:pPr>
      <w:r>
        <w:rPr>
          <w:b/>
        </w:rPr>
        <w:t xml:space="preserve">2. </w:t>
      </w:r>
      <w:r>
        <w:t>the Property is free from all encumbrances, mortgages, charges, liens, hypothecation, pledges, attachments (whether before or after judgment), prior agreements to sell or transfer, lis pendens, claims of pre-emption, sale agreements, leases, tenancies, sub-tenancies, licences, occupancy rights, easements, trusts, undisclosed coparceners, restrictive covenants, litigation, family disputes, prior gift / partition / family settlement and any other rights of third parties (whether registered or otherwise) of any nature whatsoever;</w:t>
      </w:r>
    </w:p>
    <w:p>
      <w:pPr>
        <w:spacing w:before="40"/>
        <w:ind w:left="454"/>
        <w:jc w:val="both"/>
      </w:pPr>
      <w:r>
        <w:rPr>
          <w:b/>
        </w:rPr>
        <w:t xml:space="preserve">3. </w:t>
      </w:r>
      <w:r>
        <w:t>no part of the Property is subject to any acquisition or requisition or notification for acquisition by any Government or statutory authority under the Right to Fair Compensation and Transparency in Land Acquisition, Rehabilitation and Resettlement Act, 2013 or any town planning / development scheme;</w:t>
      </w:r>
    </w:p>
    <w:p>
      <w:pPr>
        <w:spacing w:before="40"/>
        <w:ind w:left="454"/>
        <w:jc w:val="both"/>
      </w:pPr>
      <w:r>
        <w:rPr>
          <w:b/>
        </w:rPr>
        <w:t xml:space="preserve">4. </w:t>
      </w:r>
      <w:r>
        <w:t>all municipal taxes, property taxes, electricity, water, sewerage, maintenance and other outgoings in respect of the Property have been duly paid by the Transferor up to the date of execution hereof, and the receipts in proof of such payment shall be handed over to the Transferee on or before such date;</w:t>
      </w:r>
    </w:p>
    <w:p>
      <w:pPr>
        <w:spacing w:before="40"/>
        <w:ind w:left="454"/>
        <w:jc w:val="both"/>
      </w:pPr>
      <w:r>
        <w:rPr>
          <w:b/>
        </w:rPr>
        <w:t xml:space="preserve">5. </w:t>
      </w:r>
      <w:r>
        <w:t>the Transferor has obtained all approvals, consents, no-objection certificates and clearances required for the lawful transfer of the Property, including (where applicable) under the relevant Co-operative Housing Society Bye-laws, Builder’s NOC, Income-tax clearance under Section 281 of the Income-tax Act, 1961 (where applicable), and clearance under any applicable State land laws;</w:t>
      </w:r>
    </w:p>
    <w:p>
      <w:pPr>
        <w:spacing w:before="40"/>
        <w:ind w:left="454"/>
        <w:jc w:val="both"/>
      </w:pPr>
      <w:r>
        <w:rPr>
          <w:b/>
        </w:rPr>
        <w:t xml:space="preserve">6. </w:t>
      </w:r>
      <w:r>
        <w:t>where the Property exceeds the threshold value of ₹ 50,00,000 (Rupees Fifty Lakhs only), the Transferee shall deduct tax at source at 1% under Section 194-IA of the Income-tax Act, 1961, and the Transferor undertakes to issue all necessary documentation in this regard;</w:t>
      </w:r>
    </w:p>
    <w:p>
      <w:pPr>
        <w:spacing w:before="40"/>
        <w:ind w:left="454"/>
        <w:jc w:val="both"/>
      </w:pPr>
      <w:r>
        <w:rPr>
          <w:b/>
        </w:rPr>
        <w:t xml:space="preserve">7. </w:t>
      </w:r>
      <w:r>
        <w:t>the Transferor is not a Non-Resident Indian (NRI) / Person of Indian Origin (PIO) / Overseas Citizen of India (OCI) / Foreign National; in case the Transferor is an NRI/PIO/OCI, this transfer is in compliance with the Foreign Exchange Management Act, 1999 and the Foreign Exchange Management (Acquisition and Transfer of Immovable Property in India) Regulations, 2018, and withholding tax at applicable rates under Section 195 of the Income-tax Act, 1961 has been or shall be duly deducted;</w:t>
      </w:r>
    </w:p>
    <w:p>
      <w:pPr>
        <w:spacing w:before="40"/>
        <w:ind w:left="454"/>
        <w:jc w:val="both"/>
      </w:pPr>
      <w:r>
        <w:rPr>
          <w:b/>
        </w:rPr>
        <w:t xml:space="preserve">8. </w:t>
      </w:r>
      <w:r>
        <w:t>the Transferor is competent to contract, of sound mind, has not been declared insolvent, and is not disqualified by any law or court order from executing this Deed;</w:t>
      </w:r>
    </w:p>
    <w:p>
      <w:pPr>
        <w:spacing w:before="40"/>
        <w:ind w:left="454"/>
        <w:jc w:val="both"/>
      </w:pPr>
      <w:r>
        <w:rPr>
          <w:b/>
        </w:rPr>
        <w:t xml:space="preserve">9. </w:t>
      </w:r>
      <w:r>
        <w:t>this Deed has been duly authorised, executed and delivered by the Transferor, and constitutes a valid, legal and binding obligation enforceable against the Transferor;</w:t>
      </w:r>
    </w:p>
    <w:p>
      <w:pPr>
        <w:spacing w:before="40"/>
        <w:ind w:left="454"/>
        <w:jc w:val="both"/>
      </w:pPr>
      <w:r>
        <w:rPr>
          <w:b/>
        </w:rPr>
        <w:t xml:space="preserve">10. </w:t>
      </w:r>
      <w:r>
        <w:t>no suit, action, arbitration, claim, proceeding, attachment or investigation is pending or, to the best of the Transferor’s knowledge after due enquiry, threatened against the Transferor or in respect of the Property which would affect the title, interest or possession of the Property or the transfer thereof to the Transferee;</w:t>
      </w:r>
    </w:p>
    <w:p>
      <w:pPr>
        <w:spacing w:before="40"/>
        <w:ind w:left="454"/>
        <w:jc w:val="both"/>
      </w:pPr>
      <w:r>
        <w:rPr>
          <w:b/>
        </w:rPr>
        <w:t xml:space="preserve">11. </w:t>
      </w:r>
      <w:r>
        <w:t>the Transferor has not received any notice of acquisition, requisition, demolition, or other action by any government, statutory or municipal authority affecting the Property;</w:t>
      </w:r>
    </w:p>
    <w:p>
      <w:pPr>
        <w:spacing w:before="40"/>
        <w:ind w:left="454"/>
        <w:jc w:val="both"/>
      </w:pPr>
      <w:r>
        <w:rPr>
          <w:b/>
        </w:rPr>
        <w:t xml:space="preserve">12. </w:t>
      </w:r>
      <w:r>
        <w:t>no person other than the Transferor has any right of pre-emption, first refusal, first offer, share, claim, interest or demand in respect of the Property;</w:t>
      </w:r>
    </w:p>
    <w:p>
      <w:pPr>
        <w:spacing w:before="40"/>
        <w:ind w:left="454"/>
        <w:jc w:val="both"/>
      </w:pPr>
      <w:r>
        <w:rPr>
          <w:b/>
        </w:rPr>
        <w:t xml:space="preserve">13. </w:t>
      </w:r>
      <w:r>
        <w:t>the Property has been constructed / occupied / used strictly in accordance with the sanctioned building plan / occupancy certificate / completion certificate, and there are no unauthorised or illegal constructions or additions;</w:t>
      </w:r>
    </w:p>
    <w:p>
      <w:pPr>
        <w:spacing w:before="40"/>
        <w:ind w:left="454"/>
        <w:jc w:val="both"/>
      </w:pPr>
      <w:r>
        <w:rPr>
          <w:b/>
        </w:rPr>
        <w:t xml:space="preserve">14. </w:t>
      </w:r>
      <w:r>
        <w:t>all representations and warranties set out herein are true, correct, complete and not misleading as on the date of this Deed.</w:t>
      </w:r>
    </w:p>
    <w:p/>
    <w:p>
      <w:pPr>
        <w:spacing w:before="80"/>
        <w:jc w:val="both"/>
      </w:pPr>
      <w:r>
        <w:rPr>
          <w:b/>
        </w:rPr>
        <w:t xml:space="preserve">7. </w:t>
      </w:r>
      <w:r>
        <w:rPr>
          <w:b/>
        </w:rPr>
        <w:t xml:space="preserve">REPRESENTATIONS AND WARRANTIES OF THE PURCHASER. </w:t>
      </w:r>
      <w:r>
        <w:t>The Purchaser represents and warrants that: (a) the Purchaser is of full age, sound mind and competent to contract; (b) the Purchaser has the financial capacity to pay the Total Consideration in accordance with the schedule herein; (c) the source of funds is from legitimate, tax-paid Indian sources / in compliance with FEMA in case of NRI Purchaser; (d) the Purchaser is not a Specified Person under the Prevention of Money Laundering Act, 2002 or any sanctions list.</w:t>
      </w:r>
    </w:p>
    <w:p>
      <w:pPr>
        <w:spacing w:before="80"/>
        <w:jc w:val="both"/>
      </w:pPr>
      <w:r>
        <w:rPr>
          <w:b/>
        </w:rPr>
        <w:t xml:space="preserve">8. </w:t>
      </w:r>
      <w:r>
        <w:rPr>
          <w:b/>
        </w:rPr>
        <w:t xml:space="preserve">PURCHASER’S RIGHT OF SPECIFIC PERFORMANCE. </w:t>
      </w:r>
      <w:r>
        <w:t>In the event of refusal / failure by the Vendor to execute the Sale Deed despite the Conditions Precedent being satisfied / waived and the Purchaser being ready and willing to perform, the Purchaser shall be entitled to specific performance of this Agreement under Section 10 of the Specific Relief Act, 1963 (post-2018 amendment, which makes specific performance the rule rather than the exception). The Purchaser may, at its option, seek (a) a decree of specific performance compelling the Vendor to execute the Sale Deed; (b) a decree directing the Sub-Registrar to register the Sale Deed pursuant to the decree under Section 35 of the Specific Relief Act, 1963; (c) injunctive relief restraining the Vendor from alienating the Property to any third party; (d) damages in lieu of, or in addition to, specific performance.</w:t>
      </w:r>
    </w:p>
    <w:p>
      <w:pPr>
        <w:spacing w:before="80"/>
        <w:jc w:val="both"/>
      </w:pPr>
      <w:r>
        <w:rPr>
          <w:b/>
        </w:rPr>
        <w:t xml:space="preserve">9. </w:t>
      </w:r>
      <w:r>
        <w:rPr>
          <w:b/>
        </w:rPr>
        <w:t xml:space="preserve">VENDOR’S RIGHT IN CASE OF PURCHASER DEFAULT. </w:t>
      </w:r>
      <w:r>
        <w:t>In the event the Purchaser fails to pay any tranche of consideration / execute the Sale Deed by the stipulated date(s) despite a written cure notice of {{CURE_DAYS}} days, the Vendor shall be entitled to (a) forfeit a reasonable portion of the Earnest Money as liquidated damages, in line with Section 74 of the Indian Contract Act, 1872 and the principles laid down in *Kailash Nath Associates v. DDA*, (2015) 4 SCC 136 (forfeiture must be supported by proof of loss); (b) terminate this Agreement; (c) sue for specific performance, if so advised; (d) sue for damages, in addition to the foregoing.</w:t>
      </w:r>
    </w:p>
    <w:p>
      <w:pPr>
        <w:spacing w:before="80"/>
        <w:jc w:val="both"/>
      </w:pPr>
      <w:r>
        <w:rPr>
          <w:b/>
        </w:rPr>
        <w:t xml:space="preserve">10. </w:t>
      </w:r>
      <w:r>
        <w:rPr>
          <w:b/>
        </w:rPr>
        <w:t xml:space="preserve">EXCLUSIVITY AND NEGATIVE COVENANTS. </w:t>
      </w:r>
      <w:r>
        <w:t>From the date hereof until the Sale Deed execution / termination of this Agreement (whichever is earlier), the Vendor undertakes NOT to: (a) sell, lease, license, mortgage, gift, exchange, settle, encumber, dispose of or part with possession of the Property to any third party; (b) execute any further agreement to sell or memorandum of understanding in respect of the Property; (c) take any action that may impair its title or the marketability thereof; (d) suffer any litigation in respect of the Property. The Purchaser shall be entitled to record a Caveat under Section 148A of the CPC, 1908 and / or a notice of lis pendens, in protection of its rights.</w:t>
      </w:r>
    </w:p>
    <w:p>
      <w:pPr>
        <w:spacing w:before="80"/>
        <w:jc w:val="both"/>
      </w:pPr>
      <w:r>
        <w:rPr>
          <w:b/>
        </w:rPr>
        <w:t xml:space="preserve">11. </w:t>
      </w:r>
      <w:r>
        <w:rPr>
          <w:b/>
        </w:rPr>
        <w:t xml:space="preserve">TAX COMPLIANCE. </w:t>
      </w:r>
      <w:r>
        <w:t>(a) TDS under Section 194-IA of the Income-tax Act, 1961 at 1% shall be deducted by the Purchaser where the consideration is ₹50,00,000 or more; (b) TDS at applicable rate under Section 195 (typically 20% / 30% + surcharge + cess) shall apply if the Vendor is an NRI / non-resident; (c) the Vendor shall apply for a Lower Deduction Certificate under Section 197 if it wishes to reduce the TDS rate; (d) capital gains shall be computed and discharged by the Vendor on stand-alone basis; (e) Section 50C of the Income-tax Act, 1961 (deeming Stamp Duty Value as full value of consideration) and Section 56(2)(x) (deeming taxation in hands of the Purchaser if consideration is less than Stamp Duty Value by more than the safe harbour) shall apply.</w:t>
      </w:r>
    </w:p>
    <w:p>
      <w:pPr>
        <w:spacing w:before="80"/>
        <w:jc w:val="both"/>
      </w:pPr>
      <w:r>
        <w:rPr>
          <w:b/>
        </w:rPr>
        <w:t xml:space="preserve">12. </w:t>
      </w:r>
      <w:r>
        <w:rPr>
          <w:b/>
        </w:rPr>
        <w:t xml:space="preserve">DELIVERY OF DOCUMENTS. </w:t>
      </w:r>
      <w:r>
        <w:t>On or before the Sale Deed execution, the Vendor shall deliver to the Purchaser the originals of all chain-of-title documents, including (a) parent / source / mother deeds; (b) sale deeds; (c) gift / partition / family settlement deeds; (d) mutation extracts; (e) building plan / sanction / occupation / completion certificates; (f) Encumbrance Certificate; (g) latest property tax receipt; (h) electricity / water receipt; (i) society NOC / share certificate; (j) bank release letter; (k) RERA documents; (l) any other relevant documents.</w:t>
      </w:r>
    </w:p>
    <w:p>
      <w:pPr>
        <w:spacing w:before="240" w:after="80"/>
        <w:pBdr>
          <w:bottom w:val="single" w:sz="6" w:space="1" w:color="002060"/>
        </w:pBdr>
      </w:pPr>
      <w:r>
        <w:rPr>
          <w:b/>
          <w:color w:val="002060"/>
          <w:sz w:val="25"/>
        </w:rPr>
        <w:t>INDEMNITY</w:t>
      </w:r>
    </w:p>
    <w:p>
      <w:pPr>
        <w:jc w:val="both"/>
      </w:pPr>
      <w:r>
        <w:rPr>
          <w:b w:val="0"/>
          <w:i w:val="0"/>
        </w:rPr>
        <w:t>The Vendor hereby covenants with and agrees to indemnify, defend and hold harmless the Purchaser, and his/her/their heirs, executors, administrators, legal representatives, successors and permitted assigns, from and against all claims, demands, suits, actions, proceedings, losses, damages, costs, charges, expenses (including, without limitation, attorney’s fees on a full indemnity basis), taxes, duties, penalties and consequences of any nature whatsoever, directly or indirectly arising out of or in connection with (a) any breach of the representations, warranties, declarations and covenants set out herein; (b) any defect in or challenge to the title of the Transferor in the Property; (c) any prior encumbrance, claim, charge, attachment, litigation or third-party right not disclosed in this Deed; (d) any non-payment of taxes, duties or outgoings by the Transferor for the period prior to the date of this Deed; and (e) any misrepresentation made by the Transferor.</w:t>
      </w:r>
    </w:p>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SCHEDULE OF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DEVOLUTION OF TITLE</w:t>
      </w:r>
    </w:p>
    <w:p>
      <w:pPr>
        <w:jc w:val="both"/>
      </w:pPr>
      <w:r>
        <w:rPr>
          <w:b w:val="0"/>
          <w:i w:val="0"/>
        </w:rPr>
        <w:t>The chain of title in respect of the Property is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Parties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{{TITLE_1_DATE}}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{{TITLE_1_DOC}}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{{TITLE_1_PARTIES}}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{{TITLE_3_DATE}}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{{TITLE_3_DOC}}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{{TITLE_3_PARTIES}}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{{TITLE_4_REG}}</w:t>
            </w:r>
          </w:p>
        </w:tc>
      </w:tr>
    </w:tbl>
    <w:p/>
    <w:p>
      <w:pPr>
        <w:spacing w:before="240" w:after="80"/>
        <w:pBdr>
          <w:bottom w:val="single" w:sz="6" w:space="1" w:color="002060"/>
        </w:pBdr>
      </w:pPr>
      <w:r>
        <w:rPr>
          <w:b/>
          <w:color w:val="002060"/>
          <w:sz w:val="25"/>
        </w:rPr>
        <w:t>SCHEDULE C — DETAILED PAYMENT SCHEDULE &amp; BANK PARTICULARS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Tranche</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Beneficiary Bank A/c</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IFSC</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Trigger Date</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{{EARNEST_MONEY_INR}}</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{{VENDOR_BANK_ACCOUNT}}</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{{VENDOR_BANK_IFSC}}</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On execution</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{{TRANCHE_2_INR}}</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{{VENDOR_BANK_ACCOUNT}}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{{VENDOR_BANK_IFSC}}</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{{TRANCHE_2_DATE}}</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{{TRANCHE_3_INR}}</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{{VENDOR_BANK_ACCOUNT}}</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{{VENDOR_BANK_IFSC}}</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{{TRANCHE_3_DATE}}</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{{TRANCHE_4_INR}}</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{{VENDOR_BANK_ACCOUNT}}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{{VENDOR_BANK_IFSC}}</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Sale Deed execution</w:t>
            </w:r>
          </w:p>
        </w:tc>
      </w:tr>
    </w:tbl>
    <w:p/>
    <w:p>
      <w:pPr>
        <w:spacing w:before="240" w:after="80"/>
        <w:pBdr>
          <w:bottom w:val="single" w:sz="6" w:space="1" w:color="002060"/>
        </w:pBdr>
      </w:pPr>
      <w:r>
        <w:rPr>
          <w:b/>
          <w:color w:val="002060"/>
          <w:sz w:val="25"/>
        </w:rPr>
        <w:t>SCHEDULE D — CONDITIONS PRECEDENT CHECKLIST</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Condition Precedent</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Responsible Party</w:t>
            </w:r>
          </w:p>
        </w:tc>
        <w:tc>
          <w:tcPr>
            <w:tcW w:type="dxa" w:w="238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Status / Target Date</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3969"/>
            <w:tcBorders>
              <w:top w:val="single" w:sz="4" w:color="808080"/>
              <w:left w:val="single" w:sz="4" w:color="808080"/>
              <w:bottom w:val="single" w:sz="4" w:color="808080"/>
              <w:right w:val="single" w:sz="4" w:color="808080"/>
            </w:tcBorders>
            <w:vAlign w:val="center"/>
          </w:tcPr>
          <w:p>
            <w:pPr>
              <w:jc w:val="left"/>
            </w:pPr>
            <w:r/>
            <w:r>
              <w:rPr>
                <w:sz w:val="21"/>
              </w:rPr>
              <w:t>Title due diligence completion</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Purchaser</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{{CP_1_DATE}}</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Society / Builder NOC</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Vendor</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{{CP_2_DATE}}</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3969"/>
            <w:tcBorders>
              <w:top w:val="single" w:sz="4" w:color="808080"/>
              <w:left w:val="single" w:sz="4" w:color="808080"/>
              <w:bottom w:val="single" w:sz="4" w:color="808080"/>
              <w:right w:val="single" w:sz="4" w:color="808080"/>
            </w:tcBorders>
            <w:vAlign w:val="center"/>
          </w:tcPr>
          <w:p>
            <w:pPr>
              <w:jc w:val="left"/>
            </w:pPr>
            <w:r/>
            <w:r>
              <w:rPr>
                <w:sz w:val="21"/>
              </w:rPr>
              <w:t>Release of mortgage / bank loan</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Vendor</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{{CP_3_DATE}}</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Encumbrance Certificate (30 years)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Vendor</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{{CP_4_DATE}}</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5</w:t>
            </w:r>
          </w:p>
        </w:tc>
        <w:tc>
          <w:tcPr>
            <w:tcW w:type="dxa" w:w="3969"/>
            <w:tcBorders>
              <w:top w:val="single" w:sz="4" w:color="808080"/>
              <w:left w:val="single" w:sz="4" w:color="808080"/>
              <w:bottom w:val="single" w:sz="4" w:color="808080"/>
              <w:right w:val="single" w:sz="4" w:color="808080"/>
            </w:tcBorders>
            <w:vAlign w:val="center"/>
          </w:tcPr>
          <w:p>
            <w:pPr>
              <w:jc w:val="left"/>
            </w:pPr>
            <w:r/>
            <w:r>
              <w:rPr>
                <w:sz w:val="21"/>
              </w:rPr>
              <w:t>Section 281 IT Clearance (if applicable)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Vendor</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{{CP_5_DATE}}</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6</w:t>
            </w:r>
          </w:p>
        </w:tc>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RERA verification (if applicable)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Purchaser</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{{CP_6_DATE}}</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7</w:t>
            </w:r>
          </w:p>
        </w:tc>
        <w:tc>
          <w:tcPr>
            <w:tcW w:type="dxa" w:w="3969"/>
            <w:tcBorders>
              <w:top w:val="single" w:sz="4" w:color="808080"/>
              <w:left w:val="single" w:sz="4" w:color="808080"/>
              <w:bottom w:val="single" w:sz="4" w:color="808080"/>
              <w:right w:val="single" w:sz="4" w:color="808080"/>
            </w:tcBorders>
            <w:vAlign w:val="center"/>
          </w:tcPr>
          <w:p>
            <w:pPr>
              <w:jc w:val="left"/>
            </w:pPr>
            <w:r/>
            <w:r>
              <w:rPr>
                <w:sz w:val="21"/>
              </w:rPr>
              <w:t>Eviction of tenants / occupants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Vendor</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{{CP_7_DATE}}</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8</w:t>
            </w:r>
          </w:p>
        </w:tc>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Loan sanction (if any)</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Purchaser</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{{CP_8_DATE}}</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VENDOR:</w:t>
      </w:r>
    </w:p>
    <w:p>
      <w:pPr>
        <w:jc w:val="both"/>
      </w:pPr>
      <w:r>
        <w:rPr>
          <w:b w:val="0"/>
          <w:i w:val="0"/>
        </w:rPr>
        <w:t>_________________________________</w:t>
      </w:r>
    </w:p>
    <w:p>
      <w:pPr>
        <w:jc w:val="both"/>
      </w:pPr>
      <w:r>
        <w:rPr>
          <w:b/>
          <w:i w:val="0"/>
        </w:rPr>
        <w:t>{{VENDOR_NAME}}</w:t>
      </w:r>
    </w:p>
    <w:p>
      <w:pPr>
        <w:jc w:val="both"/>
      </w:pPr>
      <w:r>
        <w:rPr>
          <w:b w:val="0"/>
          <w:i w:val="0"/>
        </w:rPr>
        <w:t>(Vendor)</w:t>
      </w:r>
    </w:p>
    <w:p>
      <w:pPr>
        <w:jc w:val="both"/>
      </w:pPr>
      <w:r>
        <w:rPr>
          <w:b w:val="0"/>
          <w:i w:val="0"/>
        </w:rPr>
        <w:t>Photograph / Thumb impression of {{VENDOR_NAME}} is affixed at the place provided in this Deed and the same is duly attested by the witnesses below.</w:t>
      </w:r>
    </w:p>
    <w:p/>
    <w:p>
      <w:pPr>
        <w:spacing w:before="160" w:after="60"/>
      </w:pPr>
      <w:r>
        <w:rPr>
          <w:b/>
          <w:color w:val="002060"/>
          <w:sz w:val="23"/>
        </w:rPr>
        <w:t>SIGNED, SEALED AND DELIVERED BY THE PURCHASER:</w:t>
      </w:r>
    </w:p>
    <w:p>
      <w:pPr>
        <w:jc w:val="both"/>
      </w:pPr>
      <w:r>
        <w:rPr>
          <w:b w:val="0"/>
          <w:i w:val="0"/>
        </w:rPr>
        <w:t>_________________________________</w:t>
      </w:r>
    </w:p>
    <w:p>
      <w:pPr>
        <w:jc w:val="both"/>
      </w:pPr>
      <w:r>
        <w:rPr>
          <w:b/>
          <w:i w:val="0"/>
        </w:rPr>
        <w:t>{{PURCHASER_NAME}}</w:t>
      </w:r>
    </w:p>
    <w:p>
      <w:pPr>
        <w:jc w:val="both"/>
      </w:pPr>
      <w:r>
        <w:rPr>
          <w:b w:val="0"/>
          <w:i w:val="0"/>
        </w:rPr>
        <w:t>(Purchaser)</w:t>
      </w:r>
    </w:p>
    <w:p>
      <w:pPr>
        <w:jc w:val="both"/>
      </w:pPr>
      <w:r>
        <w:rPr>
          <w:b w:val="0"/>
          <w:i w:val="0"/>
        </w:rPr>
        <w:t>Photograph / Thumb impression of {{PURCHASER_NAME}}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