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SALE DEED</w:t>
      </w:r>
    </w:p>
    <w:p>
      <w:pPr>
        <w:spacing w:before="200" w:after="160"/>
        <w:jc w:val="center"/>
      </w:pPr>
      <w:r>
        <w:rPr>
          <w:b/>
          <w:color w:val="002060"/>
          <w:sz w:val="26"/>
        </w:rPr>
        <w:t>(Conveyance Deed under Section 54 of the Transfer of Property Act, 1882 — Compulsorily Registrable under Section 17(1)(b) of the Registration Act, 1908)</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Sale Deed / Conveyance Deed conveying absolute ownership in immovable property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Ad valorem stamp duty on the consideration or market value (Stamp Duty Value / Ready Reckoner / Circle Rate) whichever is higher, at the rate prescribed by the relevant State Stamp Act (typically 5%–8%, with concessional rates for women, blood relatives, etc.).</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MANDATORY — A non-testamentary instrument purporting to operate to create, declare, assign, limit or extinguish any right, title or interest of the value of ₹100 or upwards in immovable property MUST be registered under Section 17(1)(b) of the Registration Act, 1908. An unregistered Sale Deed does NOT transfer title (Section 49 RA, 1908) and is inadmissible in evidence save for limited collateral purposes.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SALE (CONVEYANCE) (this “Deed”) is made and executed at {{EXECUTION_PLACE}} on this {{EXECUTION_DAY}} day of {{EXECUTION_MONTH}}, {{EXECUTION_YEAR}}</w:t>
      </w:r>
    </w:p>
    <w:p/>
    <w:p>
      <w:pPr>
        <w:jc w:val="both"/>
      </w:pPr>
      <w:r>
        <w:rPr>
          <w:b/>
          <w:i w:val="0"/>
        </w:rPr>
        <w:t>BY AND BETWEEN</w:t>
      </w:r>
    </w:p>
    <w:p>
      <w:pPr>
        <w:jc w:val="both"/>
      </w:pPr>
      <w:r>
        <w:rPr>
          <w:b/>
        </w:rPr>
        <w:t xml:space="preserve">{{VENDOR_NAME}}, </w:t>
      </w:r>
      <w:r>
        <w:t>aged about {{VENDOR_AGE}} years, S/o / D/o / W/o {{VENDOR_PARENT_NAME}}, by faith {{VENDOR_RELIGION}}, by nationality Indian, by occupation {{VENDOR_OCCUPATION}}, holding PAN {{VENDOR_PAN}} and Aadhaar No. (last 4 digits) XXXX-XXXX-{{VENDOR_AADHAAR_LAST4}}, permanent resident of and presently residing at {{VENDOR_ADDRESS}} (hereinafter referred to as the “VENDOR”,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{{PURCHASER_NAME}}, </w:t>
      </w:r>
      <w:r>
        <w:t>aged about {{PURCHASER_AGE}} years, S/o / D/o / W/o {{PURCHASER_PARENT_NAME}}, by faith {{PURCHASER_RELIGION}}, by nationality Indian, by occupation {{PURCHASER_OCCUPATION}}, holding PAN {{PURCHASER_PAN}} and Aadhaar No. (last 4 digits) XXXX-XXXX-{{PURCHASER_AADHAAR_LAST4}}, permanent resident of and presently residing at {{PURCHASER_ADDRESS}} (hereinafter referred to as the “PURCHASER”, which expression shall, unless repugnant to the context or meaning thereof, mean and include his / her / their heirs, executors, administrators, legal representatives, successors and permitted assigns), of the OF THE SECOND PART;</w:t>
      </w:r>
    </w:p>
    <w:p/>
    <w:p/>
    <w:p>
      <w:pPr>
        <w:jc w:val="both"/>
      </w:pPr>
      <w:r>
        <w:rPr>
          <w:b/>
          <w:i w:val="0"/>
        </w:rPr>
        <w:t>WHEREAS:</w:t>
      </w:r>
    </w:p>
    <w:p/>
    <w:p>
      <w:pPr>
        <w:jc w:val="both"/>
      </w:pPr>
      <w:r>
        <w:rPr>
          <w:b/>
        </w:rPr>
        <w:t xml:space="preserve">(A)  </w:t>
      </w:r>
      <w:r>
        <w:t>the Vendor is the absolute, exclusive, sole and lawful owner, seised and possessed of, or otherwise well and sufficiently entitled to, the Property more particularly described in Schedule A hereto, with good, marketable, valid, subsisting and transferable title thereto, having acquired the same through the chain of title set out in Schedule B;</w:t>
      </w:r>
    </w:p>
    <w:p>
      <w:pPr>
        <w:jc w:val="both"/>
      </w:pPr>
      <w:r>
        <w:rPr>
          <w:b/>
        </w:rPr>
        <w:t xml:space="preserve">(B)  </w:t>
      </w:r>
      <w:r>
        <w:t>the Property is free from all encumbrances, claims, demands, charges, mortgages, attachments, liens, leases, tenancies, agreements to sell or transfer, lis pendens, family arrangements, and rights of any third party of any nature whatsoever;</w:t>
      </w:r>
    </w:p>
    <w:p>
      <w:pPr>
        <w:jc w:val="both"/>
      </w:pPr>
      <w:r>
        <w:rPr>
          <w:b/>
        </w:rPr>
        <w:t xml:space="preserve">(C)  </w:t>
      </w:r>
      <w:r>
        <w:t>by an Agreement to Sell dated {{ATS_DATE}} (the “Agreement to Sell”), the Vendor agreed to sell and the Purchaser agreed to purchase the Property at and for the total consideration of ₹ {{TOTAL_CONSIDERATION_INR}} (Rupees {{TOTAL_CONSIDERATION_WORDS}} only), on the terms and conditions therein recorded;</w:t>
      </w:r>
    </w:p>
    <w:p>
      <w:pPr>
        <w:jc w:val="both"/>
      </w:pPr>
      <w:r>
        <w:rPr>
          <w:b/>
        </w:rPr>
        <w:t xml:space="preserve">(D)  </w:t>
      </w:r>
      <w:r>
        <w:t>all Conditions Precedent set out in the Agreement to Sell have been duly satisfied / waived, and the Purchaser has paid / is paying the entire Total Consideration to the Vendor, including by way of: (i) Earnest Money of ₹ {{EARNEST_MONEY_INR}} paid on {{EARNEST_MONEY_DATE}}; (ii) interim tranches of ₹ {{INTERIM_PAYMENTS_INR}}; and (iii) balance consideration of ₹ {{BALANCE_CONSIDERATION_INR}} paid before / at the time of execution of this Sale Deed;</w:t>
      </w:r>
    </w:p>
    <w:p>
      <w:pPr>
        <w:jc w:val="both"/>
      </w:pPr>
      <w:r>
        <w:rPr>
          <w:b/>
        </w:rPr>
        <w:t xml:space="preserve">(E)  </w:t>
      </w:r>
      <w:r>
        <w:t>the Vendor and the Purchaser have, accordingly, agreed to execute this Sale Deed to convey the Property absolutely in favour of the Purchaser, free from all encumbrances.</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SALE AND CONVEYANCE. </w:t>
      </w:r>
      <w:r>
        <w:t>In consideration of the sum of ₹ {{TOTAL_CONSIDERATION_INR}} (Rupees {{TOTAL_CONSIDERATION_WORDS}} only) paid by the Purchaser to the Vendor (the receipt whereof the Vendor hereby admits and acknowledges and acquits and discharges the Purchaser thereof and therefrom), the Vendor DOTH HEREBY SELL, TRANSFER, CONVEY, GRANT, ASSIGN, RELEASE, ASSURE AND CONFIRM unto the Purchaser, the Property more particularly described in Schedule A hereto, ALONG WITH all rights, easements, privileges, appurtenances, benefits, advantages, undivided proportionate share in the land, common areas, common facilities, and the entire estate, right, title, interest, claim and demand whatsoever of the Vendor in, to or upon the Property, TO HAVE AND TO HOLD the same absolutely and for ever, free from all encumbrances, claims and demands.</w:t>
      </w:r>
    </w:p>
    <w:p>
      <w:pPr>
        <w:spacing w:before="240" w:after="80"/>
        <w:pBdr>
          <w:bottom w:val="single" w:sz="6" w:space="1" w:color="002060"/>
        </w:pBdr>
      </w:pPr>
      <w:r>
        <w:rPr>
          <w:b/>
          <w:color w:val="002060"/>
          <w:sz w:val="25"/>
        </w:rPr>
        <w:t>RECEIPT OF CONSIDERATION</w:t>
      </w:r>
    </w:p>
    <w:p>
      <w:pPr>
        <w:jc w:val="both"/>
      </w:pPr>
      <w:r>
        <w:rPr>
          <w:b/>
          <w:i w:val="0"/>
        </w:rPr>
        <w:t>I / We, the Vendor, do hereby admit and acknowledge the receipt of the total consideration of ₹ {{TOTAL_CONSIDERATION_INR}} (Rupees {{TOTAL_CONSIDERATION_WORDS}} only), being the entire consideration for the absolute sale and conveyance of the Property, as detailed in Schedule C hereto, from the TRANSFEREE / VENDEE / DONEE / LESSEE, the receipt whereof we hereby acknowledge in full satisfaction and discharge of all our claims, demands, rights and entitlements in respect thereof.</w:t>
      </w:r>
    </w:p>
    <w:p/>
    <w:p>
      <w:pPr>
        <w:spacing w:before="80"/>
        <w:jc w:val="both"/>
      </w:pPr>
      <w:r>
        <w:rPr>
          <w:b/>
        </w:rPr>
        <w:t xml:space="preserve">2. </w:t>
      </w:r>
      <w:r>
        <w:rPr>
          <w:b/>
        </w:rPr>
        <w:t xml:space="preserve">DELIVERY OF POSSESSION. </w:t>
      </w:r>
      <w:r>
        <w:t>The Vendor hereby delivers to the Purchaser, simultaneously with the execution of this Sale Deed, vacant, peaceful, unobstructed and unencumbered physical possession of the Property, together with all original title documents (a list whereof is set out in Schedule C), keys, access cards, fixtures and fittings as detailed in Schedule D, and the Vendor doth hereby cease to have any right, title or interest in or upon the Property.</w:t>
      </w:r>
    </w:p>
    <w:p>
      <w:pPr>
        <w:spacing w:before="80"/>
        <w:jc w:val="both"/>
      </w:pPr>
      <w:r>
        <w:rPr>
          <w:b/>
        </w:rPr>
        <w:t xml:space="preserve">3. </w:t>
      </w:r>
      <w:r>
        <w:rPr>
          <w:b/>
        </w:rPr>
        <w:t xml:space="preserve">DELIVERY OF TITLE DOCUMENTS. </w:t>
      </w:r>
      <w:r>
        <w:t>The Vendor delivers, simultaneously with execution hereof, the originals of all title documents listed in Schedule C, including the parent / mother deeds, sale deeds, gift deeds, partition deeds, family settlement deeds, court orders / decrees, mutation extracts, encumbrance certificate, latest property tax receipts, utility bills, society NOC / share certificate, building plans, sanctioned plans, occupation certificate, completion certificate and any RERA documents, to the Purchaser.</w:t>
      </w:r>
    </w:p>
    <w:p>
      <w:pPr>
        <w:spacing w:before="80"/>
        <w:jc w:val="both"/>
      </w:pPr>
      <w:r>
        <w:rPr>
          <w:b/>
        </w:rPr>
        <w:t xml:space="preserve">4. </w:t>
      </w:r>
      <w:r>
        <w:rPr>
          <w:b/>
        </w:rPr>
        <w:t xml:space="preserve">MUTATION AND REGISTRATION. </w:t>
      </w:r>
      <w:r>
        <w:t>The Vendor hereby authorises and undertakes to assist the Purchaser in (a) registration of this Sale Deed before the Sub-Registrar of Assurances at {{SUB_REGISTRAR_OFFICE}} within 4 (four) months of execution as required under Section 23 of the Registration Act, 1908; (b) mutation of the Property in the records of the Municipal Corporation / Panchayat / Co-operative Housing Society; (c) transfer of utility connections (electricity, water, gas, internet); (d) updation of the property tax records.</w:t>
      </w:r>
    </w:p>
    <w:p>
      <w:pPr>
        <w:spacing w:before="240" w:after="80"/>
        <w:pBdr>
          <w:bottom w:val="single" w:sz="6" w:space="1" w:color="002060"/>
        </w:pBdr>
      </w:pPr>
      <w:r>
        <w:rPr>
          <w:b/>
          <w:color w:val="002060"/>
          <w:sz w:val="25"/>
        </w:rPr>
        <w:t>REPRESENTATIONS, WARRANTIES &amp; COVENANTS OF THE Vendor</w:t>
      </w:r>
    </w:p>
    <w:p>
      <w:pPr>
        <w:jc w:val="both"/>
      </w:pPr>
      <w:r>
        <w:rPr>
          <w:b w:val="0"/>
          <w:i w:val="0"/>
        </w:rPr>
        <w:t>The Vendor hereby represents, warrants, declares and covenants with the Transferee that:</w:t>
      </w:r>
    </w:p>
    <w:p>
      <w:pPr>
        <w:spacing w:before="40"/>
        <w:ind w:left="454"/>
        <w:jc w:val="both"/>
      </w:pPr>
      <w:r>
        <w:rPr>
          <w:b/>
        </w:rPr>
        <w:t xml:space="preserve">1. </w:t>
      </w:r>
      <w:r>
        <w:t>the Property hereby transferred is the absolute, exclusive and self-acquired / ancestral / coparcenary property of the Transferor, and the Transferor has good, marketable, valid, subsisting, transferable, indefeasible and absolute title and right to convey the same in accordance with the chain of title set out in Schedule B;</w:t>
      </w:r>
    </w:p>
    <w:p>
      <w:pPr>
        <w:spacing w:before="40"/>
        <w:ind w:left="454"/>
        <w:jc w:val="both"/>
      </w:pPr>
      <w:r>
        <w:rPr>
          <w:b/>
        </w:rPr>
        <w:t xml:space="preserve">2. </w:t>
      </w:r>
      <w:r>
        <w:t>the Property is free from all encumbrances, mortgages, charges, liens, hypothecation, pledges, attachments (whether before or after judgment), prior agreements to sell or transfer, lis pendens, claims of pre-emption, sale agreements, leases, tenancies, sub-tenancies, licences, occupancy rights, easements, trusts, undisclosed coparceners, restrictive covenants, litigation, family disputes, prior gift / partition / family settlement and any other rights of third parties (whether registered or otherwise) of any nature whatsoever;</w:t>
      </w:r>
    </w:p>
    <w:p>
      <w:pPr>
        <w:spacing w:before="40"/>
        <w:ind w:left="454"/>
        <w:jc w:val="both"/>
      </w:pPr>
      <w:r>
        <w:rPr>
          <w:b/>
        </w:rPr>
        <w:t xml:space="preserve">3. </w:t>
      </w:r>
      <w:r>
        <w:t>no part of the Property is subject to any acquisition or requisition or notification for acquisition by any Government or statutory authority under the Right to Fair Compensation and Transparency in Land Acquisition, Rehabilitation and Resettlement Act, 2013 or any town planning / development scheme;</w:t>
      </w:r>
    </w:p>
    <w:p>
      <w:pPr>
        <w:spacing w:before="40"/>
        <w:ind w:left="454"/>
        <w:jc w:val="both"/>
      </w:pPr>
      <w:r>
        <w:rPr>
          <w:b/>
        </w:rPr>
        <w:t xml:space="preserve">4. </w:t>
      </w:r>
      <w:r>
        <w:t>all municipal taxes, property taxes, electricity, water, sewerage, maintenance and other outgoings in respect of the Property have been duly paid by the Transferor up to the date of execution hereof, and the receipts in proof of such payment shall be handed over to the Transferee on or before such date;</w:t>
      </w:r>
    </w:p>
    <w:p>
      <w:pPr>
        <w:spacing w:before="40"/>
        <w:ind w:left="454"/>
        <w:jc w:val="both"/>
      </w:pPr>
      <w:r>
        <w:rPr>
          <w:b/>
        </w:rPr>
        <w:t xml:space="preserve">5. </w:t>
      </w:r>
      <w:r>
        <w:t>the Transferor has obtained all approvals, consents, no-objection certificates and clearances required for the lawful transfer of the Property, including (where applicable) under the relevant Co-operative Housing Society Bye-laws, Builder’s NOC, Income-tax clearance under Section 281 of the Income-tax Act, 1961 (where applicable), and clearance under any applicable State land laws;</w:t>
      </w:r>
    </w:p>
    <w:p>
      <w:pPr>
        <w:spacing w:before="40"/>
        <w:ind w:left="454"/>
        <w:jc w:val="both"/>
      </w:pPr>
      <w:r>
        <w:rPr>
          <w:b/>
        </w:rPr>
        <w:t xml:space="preserve">6. </w:t>
      </w:r>
      <w:r>
        <w:t>where the Property exceeds the threshold value of ₹ 50,00,000 (Rupees Fifty Lakhs only), the Transferee shall deduct tax at source at 1% under Section 194-IA of the Income-tax Act, 1961, and the Transferor undertakes to issue all necessary documentation in this regard;</w:t>
      </w:r>
    </w:p>
    <w:p>
      <w:pPr>
        <w:spacing w:before="40"/>
        <w:ind w:left="454"/>
        <w:jc w:val="both"/>
      </w:pPr>
      <w:r>
        <w:rPr>
          <w:b/>
        </w:rPr>
        <w:t xml:space="preserve">7. </w:t>
      </w:r>
      <w:r>
        <w:t>the Transferor is not a Non-Resident Indian (NRI) / Person of Indian Origin (PIO) / Overseas Citizen of India (OCI) / Foreign National; in case the Transferor is an NRI/PIO/OCI, this transfer is in compliance with the Foreign Exchange Management Act, 1999 and the Foreign Exchange Management (Acquisition and Transfer of Immovable Property in India) Regulations, 2018, and withholding tax at applicable rates under Section 195 of the Income-tax Act, 1961 has been or shall be duly deducted;</w:t>
      </w:r>
    </w:p>
    <w:p>
      <w:pPr>
        <w:spacing w:before="40"/>
        <w:ind w:left="454"/>
        <w:jc w:val="both"/>
      </w:pPr>
      <w:r>
        <w:rPr>
          <w:b/>
        </w:rPr>
        <w:t xml:space="preserve">8. </w:t>
      </w:r>
      <w:r>
        <w:t>the Transferor is competent to contract, of sound mind, has not been declared insolvent, and is not disqualified by any law or court order from executing this Deed;</w:t>
      </w:r>
    </w:p>
    <w:p>
      <w:pPr>
        <w:spacing w:before="40"/>
        <w:ind w:left="454"/>
        <w:jc w:val="both"/>
      </w:pPr>
      <w:r>
        <w:rPr>
          <w:b/>
        </w:rPr>
        <w:t xml:space="preserve">9. </w:t>
      </w:r>
      <w:r>
        <w:t>this Deed has been duly authorised, executed and delivered by the Transferor, and constitutes a valid, legal and binding obligation enforceable against the Transferor;</w:t>
      </w:r>
    </w:p>
    <w:p>
      <w:pPr>
        <w:spacing w:before="40"/>
        <w:ind w:left="454"/>
        <w:jc w:val="both"/>
      </w:pPr>
      <w:r>
        <w:rPr>
          <w:b/>
        </w:rPr>
        <w:t xml:space="preserve">10. </w:t>
      </w:r>
      <w:r>
        <w:t>no suit, action, arbitration, claim, proceeding, attachment or investigation is pending or, to the best of the Transferor’s knowledge after due enquiry, threatened against the Transferor or in respect of the Property which would affect the title, interest or possession of the Property or the transfer thereof to the Transferee;</w:t>
      </w:r>
    </w:p>
    <w:p>
      <w:pPr>
        <w:spacing w:before="40"/>
        <w:ind w:left="454"/>
        <w:jc w:val="both"/>
      </w:pPr>
      <w:r>
        <w:rPr>
          <w:b/>
        </w:rPr>
        <w:t xml:space="preserve">11. </w:t>
      </w:r>
      <w:r>
        <w:t>the Transferor has not received any notice of acquisition, requisition, demolition, or other action by any government, statutory or municipal authority affecting the Property;</w:t>
      </w:r>
    </w:p>
    <w:p>
      <w:pPr>
        <w:spacing w:before="40"/>
        <w:ind w:left="454"/>
        <w:jc w:val="both"/>
      </w:pPr>
      <w:r>
        <w:rPr>
          <w:b/>
        </w:rPr>
        <w:t xml:space="preserve">12. </w:t>
      </w:r>
      <w:r>
        <w:t>no person other than the Transferor has any right of pre-emption, first refusal, first offer, share, claim, interest or demand in respect of the Property;</w:t>
      </w:r>
    </w:p>
    <w:p>
      <w:pPr>
        <w:spacing w:before="40"/>
        <w:ind w:left="454"/>
        <w:jc w:val="both"/>
      </w:pPr>
      <w:r>
        <w:rPr>
          <w:b/>
        </w:rPr>
        <w:t xml:space="preserve">13. </w:t>
      </w:r>
      <w:r>
        <w:t>the Property has been constructed / occupied / used strictly in accordance with the sanctioned building plan / occupancy certificate / completion certificate, and there are no unauthorised or illegal constructions or additions;</w:t>
      </w:r>
    </w:p>
    <w:p>
      <w:pPr>
        <w:spacing w:before="40"/>
        <w:ind w:left="454"/>
        <w:jc w:val="both"/>
      </w:pPr>
      <w:r>
        <w:rPr>
          <w:b/>
        </w:rPr>
        <w:t xml:space="preserve">14. </w:t>
      </w:r>
      <w:r>
        <w:t>all representations and warranties set out herein are true, correct, complete and not misleading as on the date of this Deed.</w:t>
      </w:r>
    </w:p>
    <w:p/>
    <w:p>
      <w:pPr>
        <w:spacing w:before="240" w:after="80"/>
        <w:pBdr>
          <w:bottom w:val="single" w:sz="6" w:space="1" w:color="002060"/>
        </w:pBdr>
      </w:pPr>
      <w:r>
        <w:rPr>
          <w:b/>
          <w:color w:val="002060"/>
          <w:sz w:val="25"/>
        </w:rPr>
        <w:t>INDEMNITY</w:t>
      </w:r>
    </w:p>
    <w:p>
      <w:pPr>
        <w:jc w:val="both"/>
      </w:pPr>
      <w:r>
        <w:rPr>
          <w:b w:val="0"/>
          <w:i w:val="0"/>
        </w:rPr>
        <w:t>The Vendor hereby covenants with and agrees to indemnify, defend and hold harmless the Purchaser, and his/her/their heirs, executors, administrators, legal representatives, successors and permitted assigns, from and against all claims, demands, suits, actions, proceedings, losses, damages, costs, charges, expenses (including, without limitation, attorney’s fees on a full indemnity basis), taxes, duties, penalties and consequences of any nature whatsoever, directly or indirectly arising out of or in connection with (a) any breach of the representations, warranties, declarations and covenants set out herein; (b) any defect in or challenge to the title of the Transferor in the Property; (c) any prior encumbrance, claim, charge, attachment, litigation or third-party right not disclosed in this Deed; (d) any non-payment of taxes, duties or outgoings by the Transferor for the period prior to the date of this Deed; and (e) any misrepresentation made by the Transferor.</w:t>
      </w:r>
    </w:p>
    <w:p/>
    <w:p>
      <w:pPr>
        <w:spacing w:before="80"/>
        <w:jc w:val="both"/>
      </w:pPr>
      <w:r>
        <w:rPr>
          <w:b/>
        </w:rPr>
        <w:t xml:space="preserve">5. </w:t>
      </w:r>
      <w:r>
        <w:rPr>
          <w:b/>
        </w:rPr>
        <w:t xml:space="preserve">FURTHER ASSURANCE. </w:t>
      </w:r>
      <w:r>
        <w:t>The Vendor covenants with the Purchaser that the Vendor shall, at all times hereafter, upon every reasonable request and at the cost of the Purchaser, execute and do all such further acts, deeds, instruments and things as may be required for more fully and effectually transferring, conveying and assuring the Property unto the Purchaser, in accordance with the true intent of this Deed (the “further-assurance” covenant under Section 55(2) of the Transfer of Property Act, 1882).</w:t>
      </w:r>
    </w:p>
    <w:p>
      <w:pPr>
        <w:spacing w:before="80"/>
        <w:jc w:val="both"/>
      </w:pPr>
      <w:r>
        <w:rPr>
          <w:b/>
        </w:rPr>
        <w:t xml:space="preserve">6. </w:t>
      </w:r>
      <w:r>
        <w:rPr>
          <w:b/>
        </w:rPr>
        <w:t xml:space="preserve">STAMP DUTY AND REGISTRATION COSTS. </w:t>
      </w:r>
      <w:r>
        <w:t>The stamp duty, registration fee and other incidental costs of this Sale Deed shall be borne by the {{STAMP_DUTY_BEARER}} (typically the Purchaser).</w:t>
      </w:r>
    </w:p>
    <w:p>
      <w:pPr>
        <w:spacing w:before="80"/>
        <w:jc w:val="both"/>
      </w:pPr>
      <w:r>
        <w:rPr>
          <w:b/>
        </w:rPr>
        <w:t xml:space="preserve">7. </w:t>
      </w:r>
      <w:r>
        <w:rPr>
          <w:b/>
        </w:rPr>
        <w:t xml:space="preserve">TDS UNDER SECTION 194-IA. </w:t>
      </w:r>
      <w:r>
        <w:t>Where the Total Consideration is ₹50,00,000 or more, the Purchaser has deducted 1% tax at source under Section 194-IA of the Income-tax Act, 1961, and shall deposit the same with the Government within the prescribed time, filing Form 26QB and furnishing Form 16B to the Vendor.</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SCHEDULE OF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B — DEVOLUTION OF TITLE</w:t>
      </w:r>
    </w:p>
    <w:p>
      <w:pPr>
        <w:jc w:val="both"/>
      </w:pPr>
      <w:r>
        <w:rPr>
          <w:b w:val="0"/>
          <w:i w:val="0"/>
        </w:rPr>
        <w:t>The chain of title in respect of the Property is as follows: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Document</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Parties</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Particulars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{{TITLE_1_DATE}}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{{TITLE_1_DOC}}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{{TITLE_1_PARTIES}}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{{TITLE_1_REG}}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{{TITLE_2_REG}}</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{{TITLE_3_DATE}}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{{TITLE_3_DOC}}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{{TITLE_3_PARTIES}}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{{TITLE_3_REG}}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{{TITLE_4_REG}}</w:t>
            </w:r>
          </w:p>
        </w:tc>
      </w:tr>
    </w:tbl>
    <w:p/>
    <w:p>
      <w:pPr>
        <w:spacing w:before="240" w:after="80"/>
        <w:pBdr>
          <w:bottom w:val="single" w:sz="6" w:space="1" w:color="002060"/>
        </w:pBdr>
      </w:pPr>
      <w:r>
        <w:rPr>
          <w:b/>
          <w:color w:val="002060"/>
          <w:sz w:val="25"/>
        </w:rPr>
        <w:t>SCHEDULE C — LIST OF TITLE DOCUMENTS HANDED OVER (ORIGINALS)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425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Document</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238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Particulars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{{TITLE_DOC_1}}</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{{TITLE_DOC_1_DATE}}</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{{TITLE_DOC_1_REG}}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{{TITLE_DOC_2}}</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{{TITLE_DOC_2_DATE}}</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{{TITLE_DOC_2_REG}}</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{{TITLE_DOC_3}}</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{{TITLE_DOC_3_DATE}}</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{{TITLE_DOC_3_REG}}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Latest Encumbrance Certificate</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{{EC_DATE}}</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{{EC_PARTICULARS}}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5</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Latest Property Tax Receipt</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{{TAX_RECEIPT_DATE}}</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6</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Electricity / Water Bills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{{UTILITY_DATE}}</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7</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Society NOC / Share Certificate</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{{SOCIETY_DATE}}</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8</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Building Plan / Occupation / Completion Certificate</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{{BP_OC_DATE}}</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9</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RERA Registration documents (if applicable)</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{{RERA_DATE}}</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w:t>
            </w:r>
          </w:p>
        </w:tc>
      </w:tr>
    </w:tbl>
    <w:p/>
    <w:p>
      <w:pPr>
        <w:spacing w:before="240" w:after="80"/>
        <w:pBdr>
          <w:bottom w:val="single" w:sz="6" w:space="1" w:color="002060"/>
        </w:pBdr>
      </w:pPr>
      <w:r>
        <w:rPr>
          <w:b/>
          <w:color w:val="002060"/>
          <w:sz w:val="25"/>
        </w:rPr>
        <w:t>SCHEDULE D — FIXTURES AND FITTINGS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425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Item</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Quantity</w:t>
            </w:r>
          </w:p>
        </w:tc>
        <w:tc>
          <w:tcPr>
            <w:tcW w:type="dxa" w:w="238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Condition</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Modular kitchen</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{{KITCHEN_QTY}}</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{{KITCHEN_CONDITION}}</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Air-conditioner units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{{AC_QTY}}</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{{AC_CONDITION}}</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Geysers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{{GEYSER_QTY}}</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{{GEYSER_CONDITION}}</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425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Light fixtures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{{LIGHT_QTY}}</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{{LIGHT_CONDITION}}</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5</w:t>
            </w:r>
          </w:p>
        </w:tc>
        <w:tc>
          <w:tcPr>
            <w:tcW w:type="dxa" w:w="4252"/>
            <w:tcBorders>
              <w:top w:val="single" w:sz="4" w:color="808080"/>
              <w:left w:val="single" w:sz="4" w:color="808080"/>
              <w:bottom w:val="single" w:sz="4" w:color="808080"/>
              <w:right w:val="single" w:sz="4" w:color="808080"/>
            </w:tcBorders>
            <w:vAlign w:val="center"/>
          </w:tcPr>
          <w:p>
            <w:pPr>
              <w:jc w:val="left"/>
            </w:pPr>
            <w:r/>
            <w:r>
              <w:rPr>
                <w:sz w:val="21"/>
              </w:rPr>
              <w:t>Wardrobes / Cupboards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{{WARDROBE_QTY}}</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{{WARDROBE_CONDITION}}</w:t>
            </w:r>
          </w:p>
        </w:tc>
      </w:tr>
    </w:tbl>
    <w:p/>
    <w:p>
      <w:pPr>
        <w:spacing w:before="240" w:after="80"/>
        <w:pBdr>
          <w:bottom w:val="single" w:sz="6" w:space="1" w:color="002060"/>
        </w:pBdr>
      </w:pPr>
      <w:r>
        <w:rPr>
          <w:b/>
          <w:color w:val="002060"/>
          <w:sz w:val="25"/>
        </w:rPr>
        <w:t>SCHEDULE E — PAYMENT TRAIL</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Mode</w:t>
            </w:r>
          </w:p>
        </w:tc>
        <w:tc>
          <w:tcPr>
            <w:tcW w:type="dxa" w:w="294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Bank / UTR Particulars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{{PAY_1_DATE}}</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{{PAY_1_INR}}</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{{PAY_1_MODE}}</w:t>
            </w:r>
          </w:p>
        </w:tc>
        <w:tc>
          <w:tcPr>
            <w:tcW w:type="dxa" w:w="2948"/>
            <w:tcBorders>
              <w:top w:val="single" w:sz="4" w:color="808080"/>
              <w:left w:val="single" w:sz="4" w:color="808080"/>
              <w:bottom w:val="single" w:sz="4" w:color="808080"/>
              <w:right w:val="single" w:sz="4" w:color="808080"/>
            </w:tcBorders>
            <w:vAlign w:val="center"/>
          </w:tcPr>
          <w:p>
            <w:pPr>
              <w:jc w:val="left"/>
            </w:pPr>
            <w:r/>
            <w:r>
              <w:rPr>
                <w:sz w:val="21"/>
              </w:rPr>
              <w:t>{{PAY_1_REF}}</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{{PAY_2_DATE}}</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{{PAY_2_INR}}</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{{PAY_2_MODE}}</w:t>
            </w:r>
          </w:p>
        </w:tc>
        <w:tc>
          <w:tcPr>
            <w:tcW w:type="dxa" w:w="294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{{PAY_2_REF}}</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{{PAY_3_DATE}}</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{{PAY_3_INR}}</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{{PAY_3_MODE}}</w:t>
            </w:r>
          </w:p>
        </w:tc>
        <w:tc>
          <w:tcPr>
            <w:tcW w:type="dxa" w:w="2948"/>
            <w:tcBorders>
              <w:top w:val="single" w:sz="4" w:color="808080"/>
              <w:left w:val="single" w:sz="4" w:color="808080"/>
              <w:bottom w:val="single" w:sz="4" w:color="808080"/>
              <w:right w:val="single" w:sz="4" w:color="808080"/>
            </w:tcBorders>
            <w:vAlign w:val="center"/>
          </w:tcPr>
          <w:p>
            <w:pPr>
              <w:jc w:val="left"/>
            </w:pPr>
            <w:r/>
            <w:r>
              <w:rPr>
                <w:sz w:val="21"/>
              </w:rPr>
              <w:t>{{PAY_3_REF}}</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{{PAY_4_DATE}}</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{{PAY_4_INR}}</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{{PAY_4_MODE}}</w:t>
            </w:r>
          </w:p>
        </w:tc>
        <w:tc>
          <w:tcPr>
            <w:tcW w:type="dxa" w:w="294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{{PAY_4_REF}}</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TOTAL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{{TOTAL_CONSIDERATION_INR}}</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2948"/>
            <w:tcBorders>
              <w:top w:val="single" w:sz="4" w:color="808080"/>
              <w:left w:val="single" w:sz="4" w:color="808080"/>
              <w:bottom w:val="single" w:sz="4" w:color="808080"/>
              <w:right w:val="single" w:sz="4" w:color="808080"/>
            </w:tcBorders>
            <w:vAlign w:val="center"/>
          </w:tcPr>
          <w:p>
            <w:pPr>
              <w:jc w:val="left"/>
            </w:pPr>
            <w:r/>
            <w:r>
              <w:rPr>
                <w:sz w:val="21"/>
              </w:rPr>
              <w:t>—</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VENDOR:</w:t>
      </w:r>
    </w:p>
    <w:p>
      <w:pPr>
        <w:jc w:val="both"/>
      </w:pPr>
      <w:r>
        <w:rPr>
          <w:b w:val="0"/>
          <w:i w:val="0"/>
        </w:rPr>
        <w:t>_________________________________</w:t>
      </w:r>
    </w:p>
    <w:p>
      <w:pPr>
        <w:jc w:val="both"/>
      </w:pPr>
      <w:r>
        <w:rPr>
          <w:b/>
          <w:i w:val="0"/>
        </w:rPr>
        <w:t>{{VENDOR_NAME}}</w:t>
      </w:r>
    </w:p>
    <w:p>
      <w:pPr>
        <w:jc w:val="both"/>
      </w:pPr>
      <w:r>
        <w:rPr>
          <w:b w:val="0"/>
          <w:i w:val="0"/>
        </w:rPr>
        <w:t>(Vendor)</w:t>
      </w:r>
    </w:p>
    <w:p>
      <w:pPr>
        <w:jc w:val="both"/>
      </w:pPr>
      <w:r>
        <w:rPr>
          <w:b w:val="0"/>
          <w:i w:val="0"/>
        </w:rPr>
        <w:t>Photograph / Thumb impression of {{VENDOR_NAME}} is affixed at the place provided in this Deed and the same is duly attested by the witnesses below.</w:t>
      </w:r>
    </w:p>
    <w:p/>
    <w:p>
      <w:pPr>
        <w:spacing w:before="160" w:after="60"/>
      </w:pPr>
      <w:r>
        <w:rPr>
          <w:b/>
          <w:color w:val="002060"/>
          <w:sz w:val="23"/>
        </w:rPr>
        <w:t>SIGNED, SEALED AND DELIVERED BY THE PURCHASER:</w:t>
      </w:r>
    </w:p>
    <w:p>
      <w:pPr>
        <w:jc w:val="both"/>
      </w:pPr>
      <w:r>
        <w:rPr>
          <w:b w:val="0"/>
          <w:i w:val="0"/>
        </w:rPr>
        <w:t>_________________________________</w:t>
      </w:r>
    </w:p>
    <w:p>
      <w:pPr>
        <w:jc w:val="both"/>
      </w:pPr>
      <w:r>
        <w:rPr>
          <w:b/>
          <w:i w:val="0"/>
        </w:rPr>
        <w:t>{{PURCHASER_NAME}}</w:t>
      </w:r>
    </w:p>
    <w:p>
      <w:pPr>
        <w:jc w:val="both"/>
      </w:pPr>
      <w:r>
        <w:rPr>
          <w:b w:val="0"/>
          <w:i w:val="0"/>
        </w:rPr>
        <w:t>(Purchaser)</w:t>
      </w:r>
    </w:p>
    <w:p>
      <w:pPr>
        <w:jc w:val="both"/>
      </w:pPr>
      <w:r>
        <w:rPr>
          <w:b w:val="0"/>
          <w:i w:val="0"/>
        </w:rPr>
        <w:t>Photograph / Thumb impression of {{PURCHASER_NAME}}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