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{{COMPANY_NAME}}</w:t>
      </w:r>
    </w:p>
    <w:p>
      <w:r>
        <w:rPr>
          <w:b w:val="0"/>
          <w:i/>
        </w:rPr>
        <w:t>(A Company incorporated under the Companies Act, {{COMPANIES_ACT_YEAR}})</w:t>
      </w:r>
    </w:p>
    <w:p>
      <w:r>
        <w:rPr>
          <w:b/>
          <w:i w:val="0"/>
          <w:sz w:val="20"/>
        </w:rPr>
        <w:t>Corporate Identification Number (CIN): {{COMPANY_CIN}}</w:t>
      </w:r>
    </w:p>
    <w:p>
      <w:r>
        <w:rPr>
          <w:b w:val="0"/>
          <w:i w:val="0"/>
          <w:sz w:val="20"/>
        </w:rPr>
        <w:t>Registered Office: {{REGD_OFFICE_ADDRESS_LINE_1}}, {{REGD_OFFICE_ADDRESS_LINE_2}}, {{REGD_OFFICE_CITY}} – {{REGD_OFFICE_PIN}}, {{REGD_OFFICE_STATE}}, India</w:t>
      </w:r>
    </w:p>
    <w:p>
      <w:r>
        <w:rPr>
          <w:b w:val="0"/>
          <w:i w:val="0"/>
          <w:sz w:val="20"/>
        </w:rPr>
        <w:t>Corporate Office (if different): {{CORPORATE_OFFICE_ADDRESS}}</w:t>
      </w:r>
    </w:p>
    <w:p>
      <w:r>
        <w:rPr>
          <w:b w:val="0"/>
          <w:i w:val="0"/>
          <w:sz w:val="20"/>
        </w:rPr>
        <w:t>Tel: {{COMPANY_PHONE}}  |  Email: {{COMPANY_EMAIL}}  |  Website: {{COMPANY_WEBSITE}}</w:t>
      </w:r>
    </w:p>
    <w:p>
      <w:r>
        <w:rPr>
          <w:b w:val="0"/>
          <w:i w:val="0"/>
          <w:sz w:val="20"/>
        </w:rPr>
        <w:t>GSTIN: {{COMPANY_GSTIN}}  |  PAN: {{COMPANY_PAN}}  |  TAN: {{COMPANY_TAN}}</w:t>
      </w:r>
    </w:p>
    <w:p/>
    <w:p>
      <w:r>
        <w:rPr>
          <w:b/>
          <w:i w:val="0"/>
        </w:rPr>
        <w:t>Ref. No.: {{BM_REFERENCE_NO}}/{{FINANCIAL_YEAR}}  |  Date: {{NOTICE_DATE}}  |  Place: {{ISSUE_PLACE}}</w:t>
      </w:r>
    </w:p>
    <w:p/>
    <w:p>
      <w:pPr>
        <w:spacing w:before="200" w:after="160"/>
        <w:jc w:val="center"/>
      </w:pPr>
      <w:r>
        <w:rPr>
          <w:b/>
          <w:color w:val="002060"/>
          <w:sz w:val="30"/>
        </w:rPr>
        <w:t>NOTICE OF MEETING OF THE BOARD OF DIRECTORS</w:t>
      </w:r>
    </w:p>
    <w:p>
      <w:pPr>
        <w:spacing w:before="200" w:after="160"/>
        <w:jc w:val="center"/>
      </w:pPr>
      <w:r>
        <w:rPr>
          <w:b/>
          <w:color w:val="002060"/>
          <w:sz w:val="26"/>
        </w:rPr>
        <w:t>(Pursuant to Section 173 of the Companies Act, 2013 read with Secretarial Standard SS-1 issued by the Institute of Company Secretaries of India)</w:t>
      </w:r>
    </w:p>
    <w:p>
      <w:pPr>
        <w:jc w:val="both"/>
      </w:pPr>
      <w:r>
        <w:rPr>
          <w:b/>
          <w:i w:val="0"/>
        </w:rPr>
        <w:t>To,</w:t>
      </w:r>
    </w:p>
    <w:p>
      <w:pPr>
        <w:jc w:val="both"/>
      </w:pPr>
      <w:r>
        <w:rPr>
          <w:b/>
          <w:i w:val="0"/>
        </w:rPr>
        <w:t>All Directors of {{COMPANY_NAME}}</w:t>
      </w:r>
    </w:p>
    <w:p>
      <w:pPr>
        <w:jc w:val="both"/>
      </w:pPr>
      <w:r>
        <w:rPr>
          <w:b w:val="0"/>
          <w:i/>
          <w:sz w:val="18"/>
        </w:rPr>
        <w:t>[A copy is being sent to each Director by hand-delivery / speed post / registered post / courier / email / fax, in accordance with Section 173(3) of the Companies Act, 2013 and Secretarial Standard SS-1, Clauses 1.3.1 to 1.3.7.]</w:t>
      </w:r>
    </w:p>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56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Name of Director</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DIN</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Designation</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Mode of Service</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Email / Address</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{{DIR_1_NAME}}</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{{DIR_1_DIN}}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{{DIR_1_DESIGNATION}}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{{DIR_1_MODE}}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{{DIR_1_EMAIL}}</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{{DIR_2_NAME}}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{{DIR_2_DIN}}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{{DIR_2_DESIGNATION}}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{{DIR_2_MODE}}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{{DIR_2_EMAIL}}</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{{DIR_3_NAME}}</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{{DIR_3_DIN}}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{{DIR_3_DESIGNATION}}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{{DIR_3_MODE}}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{{DIR_3_EMAIL}}</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{{DIR_4_NAME}}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{{DIR_4_DIN}}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{{DIR_4_DESIGNATION}}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{{DIR_4_MODE}}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{{DIR_4_EMAIL}}</w:t>
            </w:r>
          </w:p>
        </w:tc>
      </w:tr>
    </w:tbl>
    <w:p/>
    <w:p>
      <w:pPr>
        <w:jc w:val="both"/>
      </w:pPr>
      <w:r>
        <w:rPr>
          <w:b w:val="0"/>
          <w:i/>
          <w:sz w:val="18"/>
        </w:rPr>
        <w:t>[Add / delete rows above as per the actual composition of the Board.]</w:t>
      </w:r>
    </w:p>
    <w:p/>
    <w:p>
      <w:pPr>
        <w:jc w:val="both"/>
      </w:pPr>
      <w:r>
        <w:rPr>
          <w:b/>
          <w:i w:val="0"/>
        </w:rPr>
        <w:t>NOTICE is hereby given that the {{BOARD_MEETING_NUMBER_ORDINAL}} (e.g., 5th) Meeting of the Board of Directors of {{COMPANY_NAME}} (the “Company”) for the financial year {{FINANCIAL_YEAR}} shall be held on {{MEETING_DAY}}, {{MEETING_DATE}} at {{MEETING_TIME}} hrs IST, at the Registered Office of the Company at {{REGD_OFFICE_ADDRESS_LINE_1}}, {{REGD_OFFICE_CITY}} – {{REGD_OFFICE_PIN}}, AND through Video-Conferencing / Other Audio-Visual Means (in accordance with Rule 3 of the Companies (Meetings of Board and its Powers) Rules, 2014, as amended from time to time), to transact the business set forth in the Agenda below.</w:t>
      </w:r>
    </w:p>
    <w:p/>
    <w:p>
      <w:pPr>
        <w:spacing w:before="240" w:after="80"/>
        <w:pBdr>
          <w:bottom w:val="single" w:sz="6" w:space="1" w:color="002060"/>
        </w:pBdr>
      </w:pPr>
      <w:r>
        <w:rPr>
          <w:b/>
          <w:color w:val="002060"/>
          <w:sz w:val="25"/>
        </w:rPr>
        <w:t>PARTICULARS OF THE BOARD MEETING</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Meeting No. / Serial</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{{BOARD_MEETING_NO}} of FY {{FINANCIAL_YEAR}}</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Day, Date &amp; Time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{{MEETING_DAY}}, {{MEETING_DATE}} at {{MEETING_TIME}} hrs IST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Mode of Meeting</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{{MEETING_MODE}} (Physical / Video-Conference / Audio-Visual / Hybrid, in compliance with Rule 3 of the Companies (Meetings of Board and its Powers) Rules, 2014, where applicable)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Venue (Physical)</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{{MEETING_VENUE_PHYSICAL}}</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Video Conference Details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{{MEETING_VC_LINK}} (Meeting ID: {{VC_MEETING_ID}}; Passcode: {{VC_PASSCODE}})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Quorum required</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{{BOARD_QUORUM_REQUIRED}}</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Notice Date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{{NOTICE_DATE}}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Notice Convening Period</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{{NOTICE_DAYS}} clear days (Sec 173(3) for Board / Sec 101 for General Meeting)</w:t>
            </w:r>
          </w:p>
        </w:tc>
      </w:tr>
    </w:tbl>
    <w:p/>
    <w:p>
      <w:pPr>
        <w:spacing w:before="240" w:after="80"/>
        <w:pBdr>
          <w:bottom w:val="single" w:sz="6" w:space="1" w:color="002060"/>
        </w:pBdr>
      </w:pPr>
      <w:r>
        <w:rPr>
          <w:b/>
          <w:color w:val="002060"/>
          <w:sz w:val="25"/>
        </w:rPr>
        <w:t>AGENDA</w:t>
      </w:r>
    </w:p>
    <w:p>
      <w:pPr>
        <w:jc w:val="both"/>
      </w:pPr>
      <w:r>
        <w:rPr>
          <w:b/>
          <w:i w:val="0"/>
        </w:rPr>
        <w:t>Item No. 1: To grant leave of absence, if any, sought by any Director.</w:t>
      </w:r>
    </w:p>
    <w:p>
      <w:pPr>
        <w:jc w:val="both"/>
      </w:pPr>
      <w:r>
        <w:rPr>
          <w:b/>
          <w:i w:val="0"/>
        </w:rPr>
        <w:t>Item No. 2: To consider, take note of and confirm the Minutes of the previous Meeting of the Board of Directors held on {{PREV_MEETING_DATE}}.</w:t>
      </w:r>
    </w:p>
    <w:p>
      <w:pPr>
        <w:jc w:val="both"/>
      </w:pPr>
      <w:r>
        <w:rPr>
          <w:b/>
          <w:i w:val="0"/>
        </w:rPr>
        <w:t>Item No. 3: To consider, take note of and confirm the Minutes of the Meetings of the Committees of the Board (Audit / Nomination &amp; Remuneration / Stakeholders Relationship / CSR / Risk Management) held since the last Board Meeting.</w:t>
      </w:r>
    </w:p>
    <w:p>
      <w:pPr>
        <w:jc w:val="both"/>
      </w:pPr>
      <w:r>
        <w:rPr>
          <w:b/>
          <w:i w:val="0"/>
        </w:rPr>
        <w:t>Item No. 4: To take note of the action-taken report on the decisions taken at the previous Meeting of the Board.</w:t>
      </w:r>
    </w:p>
    <w:p>
      <w:pPr>
        <w:jc w:val="both"/>
      </w:pPr>
      <w:r>
        <w:rPr>
          <w:b/>
          <w:i w:val="0"/>
        </w:rPr>
        <w:t>Item No. 5: To take note of statutory and regulatory compliances by the Company for the period from {{COMPLIANCE_FROM_DATE}} to {{COMPLIANCE_TO_DATE}}, and the Compliance Certificate of the Company Secretary in accordance with Paragraph 1.3.7 of SS-1.</w:t>
      </w:r>
    </w:p>
    <w:p>
      <w:pPr>
        <w:jc w:val="both"/>
      </w:pPr>
      <w:r>
        <w:rPr>
          <w:b/>
          <w:i w:val="0"/>
        </w:rPr>
        <w:t>Item No. 6: To consider and approve the un-audited / audited financial results of the Company for the quarter / half-year / financial year ended {{RESULTS_PERIOD_END}}, along with the Auditor’s Limited Review Report / Auditor’s Report thereon.</w:t>
      </w:r>
    </w:p>
    <w:p>
      <w:pPr>
        <w:jc w:val="both"/>
      </w:pPr>
      <w:r>
        <w:rPr>
          <w:b/>
          <w:i w:val="0"/>
        </w:rPr>
        <w:t>Item No. 7: To consider and approve the Directors’ Report and the financial statements for the financial year ended {{FY_END_DATE}}, in accordance with Sections 129, 134, and Schedule III of the Companies Act, 2013.</w:t>
      </w:r>
    </w:p>
    <w:p>
      <w:pPr>
        <w:jc w:val="both"/>
      </w:pPr>
      <w:r>
        <w:rPr>
          <w:b/>
          <w:i w:val="0"/>
        </w:rPr>
        <w:t>Item No. 8: To consider and approve the convening of the {{AGM_NUMBER_ORDINAL}} Annual General Meeting / Extra-Ordinary General Meeting of the Members, and to approve the Notice and Explanatory Statement therefor.</w:t>
      </w:r>
    </w:p>
    <w:p>
      <w:pPr>
        <w:jc w:val="both"/>
      </w:pPr>
      <w:r>
        <w:rPr>
          <w:b/>
          <w:i w:val="0"/>
        </w:rPr>
        <w:t>Item No. 9: To consider and approve the appointment / re-appointment / resignation of Directors, Key Managerial Personnel, Statutory Auditors, Secretarial Auditors and other senior management.</w:t>
      </w:r>
    </w:p>
    <w:p>
      <w:pPr>
        <w:jc w:val="both"/>
      </w:pPr>
      <w:r>
        <w:rPr>
          <w:b/>
          <w:i w:val="0"/>
        </w:rPr>
        <w:t>Item No. 10: To consider and approve the recommendation of dividend, if any, to the Members.</w:t>
      </w:r>
    </w:p>
    <w:p>
      <w:pPr>
        <w:jc w:val="both"/>
      </w:pPr>
      <w:r>
        <w:rPr>
          <w:b/>
          <w:i w:val="0"/>
        </w:rPr>
        <w:t>Item No. 11: To consider and approve borrowings / loans / investments / guarantees / securities, in accordance with Sections 179, 180, 185 and 186 of the Companies Act, 2013.</w:t>
      </w:r>
    </w:p>
    <w:p>
      <w:pPr>
        <w:jc w:val="both"/>
      </w:pPr>
      <w:r>
        <w:rPr>
          <w:b/>
          <w:i w:val="0"/>
        </w:rPr>
        <w:t>Item No. 12: To consider and approve Related Party Transactions, if any, in accordance with Section 188 of the Companies Act, 2013 read with Rule 15 of the Companies (Meetings of Board and its Powers) Rules, 2014.</w:t>
      </w:r>
    </w:p>
    <w:p>
      <w:pPr>
        <w:jc w:val="both"/>
      </w:pPr>
      <w:r>
        <w:rPr>
          <w:b/>
          <w:i w:val="0"/>
        </w:rPr>
        <w:t>Item No. 13: To take note of disclosures of interest by Directors in Form MBP-1 under Section 184(1) of the Companies Act, 2013.</w:t>
      </w:r>
    </w:p>
    <w:p>
      <w:pPr>
        <w:jc w:val="both"/>
      </w:pPr>
      <w:r>
        <w:rPr>
          <w:b/>
          <w:i w:val="0"/>
        </w:rPr>
        <w:t>Item No. 14: To consider and approve such other items as the Chairperson may permit, with the consent of a majority of the Directors present.</w:t>
      </w:r>
    </w:p>
    <w:p>
      <w:pPr>
        <w:jc w:val="both"/>
      </w:pPr>
      <w:r>
        <w:rPr>
          <w:b/>
          <w:i w:val="0"/>
        </w:rPr>
        <w:t>Item No. 15: Any other matter with the permission of the Chairperson.</w:t>
      </w:r>
    </w:p>
    <w:p>
      <w:pPr>
        <w:jc w:val="both"/>
      </w:pPr>
      <w:r>
        <w:rPr>
          <w:b/>
          <w:i w:val="0"/>
        </w:rPr>
        <w:t>Item No. 16: Vote of thanks.</w:t>
      </w:r>
    </w:p>
    <w:p/>
    <w:p>
      <w:pPr>
        <w:jc w:val="both"/>
      </w:pPr>
      <w:r>
        <w:rPr>
          <w:b w:val="0"/>
          <w:i/>
          <w:sz w:val="18"/>
        </w:rPr>
        <w:t>[The above is an indicative omnibus Agenda. The specific agenda items applicable to this Meeting shall be set out in the Notes on Agenda circulated separately. Items not applicable to the Company / this Meeting shall be deleted before finalisation of the Notice.]</w:t>
      </w:r>
    </w:p>
    <w:p/>
    <w:p>
      <w:pPr>
        <w:spacing w:before="240" w:after="80"/>
        <w:pBdr>
          <w:bottom w:val="single" w:sz="6" w:space="1" w:color="002060"/>
        </w:pBdr>
      </w:pPr>
      <w:r>
        <w:rPr>
          <w:b/>
          <w:color w:val="002060"/>
          <w:sz w:val="25"/>
        </w:rPr>
        <w:t>NOTES</w:t>
      </w:r>
    </w:p>
    <w:p>
      <w:pPr>
        <w:spacing w:before="40"/>
        <w:ind w:left="454"/>
        <w:jc w:val="both"/>
      </w:pPr>
      <w:r>
        <w:rPr>
          <w:b/>
        </w:rPr>
        <w:t xml:space="preserve">1. </w:t>
      </w:r>
      <w:r>
        <w:t>The Meeting is being convened in accordance with Section 173(3) of the Companies Act, 2013 read with Rule 3 of the Companies (Meetings of Board and its Powers) Rules, 2014 and Secretarial Standard SS-1 issued by the Institute of Company Secretaries of India.</w:t>
      </w:r>
    </w:p>
    <w:p>
      <w:pPr>
        <w:spacing w:before="40"/>
        <w:ind w:left="454"/>
        <w:jc w:val="both"/>
      </w:pPr>
      <w:r>
        <w:rPr>
          <w:b/>
        </w:rPr>
        <w:t xml:space="preserve">2. </w:t>
      </w:r>
      <w:r>
        <w:t>Directors intending to participate through video conferencing or other audio-visual means are requested to intimate the Company at least 1 (one) day before the Meeting, providing their email-id and contact number, to enable the Company to make the necessary arrangements. Participation through video conferencing / OAVM is NOT permitted for the items specified in Rule 4 of the said Rules (where so applicable), namely (i) approval of annual financial statements; (ii) approval of the Board’s Report; (iii) approval of the prospectus; (iv) Audit Committee meeting for consideration of financial statements; (v) approval of matters relating to amalgamation, merger, demerger, acquisition and takeover.</w:t>
      </w:r>
    </w:p>
    <w:p>
      <w:pPr>
        <w:spacing w:before="40"/>
        <w:ind w:left="454"/>
        <w:jc w:val="both"/>
      </w:pPr>
      <w:r>
        <w:rPr>
          <w:b/>
        </w:rPr>
        <w:t xml:space="preserve">3. </w:t>
      </w:r>
      <w:r>
        <w:t>Directors are requested to bring with them all the Agenda papers, Notes on Agenda, Notes for placing on the table at the Meeting, and any other relevant documents.</w:t>
      </w:r>
    </w:p>
    <w:p>
      <w:pPr>
        <w:spacing w:before="40"/>
        <w:ind w:left="454"/>
        <w:jc w:val="both"/>
      </w:pPr>
      <w:r>
        <w:rPr>
          <w:b/>
        </w:rPr>
        <w:t xml:space="preserve">4. </w:t>
      </w:r>
      <w:r>
        <w:t>The Quorum for the Meeting is one-third of the total strength of the Board or two Directors, whichever is higher (Section 174(1) of the Companies Act, 2013). Directors participating through video conferencing or other audio-visual means shall be counted for the purposes of quorum, unless they are restricted from such participation for any item.</w:t>
      </w:r>
    </w:p>
    <w:p>
      <w:pPr>
        <w:spacing w:before="40"/>
        <w:ind w:left="454"/>
        <w:jc w:val="both"/>
      </w:pPr>
      <w:r>
        <w:rPr>
          <w:b/>
        </w:rPr>
        <w:t xml:space="preserve">5. </w:t>
      </w:r>
      <w:r>
        <w:t>In respect of any item with respect to which any Director has any concern or interest within the meaning of Section 184(2) of the Companies Act, 2013, the said Director shall disclose his / her interest before the Meeting takes up the item and shall not participate in the discussion or voting on such item.</w:t>
      </w:r>
    </w:p>
    <w:p>
      <w:pPr>
        <w:spacing w:before="40"/>
        <w:ind w:left="454"/>
        <w:jc w:val="both"/>
      </w:pPr>
      <w:r>
        <w:rPr>
          <w:b/>
        </w:rPr>
        <w:t xml:space="preserve">6. </w:t>
      </w:r>
      <w:r>
        <w:t>Independent Directors are requested to be present at the Meeting and to actively participate in the deliberations.</w:t>
      </w:r>
    </w:p>
    <w:p>
      <w:pPr>
        <w:spacing w:before="40"/>
        <w:ind w:left="454"/>
        <w:jc w:val="both"/>
      </w:pPr>
      <w:r>
        <w:rPr>
          <w:b/>
        </w:rPr>
        <w:t xml:space="preserve">7. </w:t>
      </w:r>
      <w:r>
        <w:t>In accordance with Paragraph 1.3.7 of Secretarial Standard SS-1, Directors may dispense with the requirement of Notice for the Meeting if all the Directors agree, and the same shall be recorded in the Minutes.</w:t>
      </w:r>
    </w:p>
    <w:p>
      <w:pPr>
        <w:spacing w:before="40"/>
        <w:ind w:left="454"/>
        <w:jc w:val="both"/>
      </w:pPr>
      <w:r>
        <w:rPr>
          <w:b/>
        </w:rPr>
        <w:t xml:space="preserve">8. </w:t>
      </w:r>
      <w:r>
        <w:t>Notes on Agenda, where applicable, are circulated separately along with this Notice.</w:t>
      </w:r>
    </w:p>
    <w:p/>
    <w:p>
      <w:pPr>
        <w:jc w:val="both"/>
      </w:pPr>
      <w:r>
        <w:rPr>
          <w:b/>
          <w:i w:val="0"/>
        </w:rPr>
        <w:t>By Order of the Board of Directors</w:t>
      </w:r>
    </w:p>
    <w:p>
      <w:pPr>
        <w:jc w:val="both"/>
      </w:pPr>
      <w:r>
        <w:rPr>
          <w:b/>
          <w:i w:val="0"/>
        </w:rPr>
        <w:t>For {{COMPANY_NAME}}</w:t>
      </w:r>
    </w:p>
    <w:p/>
    <w:p/>
    <w:p>
      <w:pPr>
        <w:jc w:val="both"/>
      </w:pPr>
      <w:r>
        <w:rPr>
          <w:b w:val="0"/>
          <w:i w:val="0"/>
        </w:rPr>
        <w:t>_________________________________</w:t>
      </w:r>
    </w:p>
    <w:p>
      <w:pPr>
        <w:jc w:val="both"/>
      </w:pPr>
      <w:r>
        <w:rPr>
          <w:b/>
          <w:i w:val="0"/>
        </w:rPr>
        <w:t>({{CS_NAME}})</w:t>
      </w:r>
    </w:p>
    <w:p>
      <w:pPr>
        <w:jc w:val="both"/>
      </w:pPr>
      <w:r>
        <w:rPr>
          <w:b w:val="0"/>
          <w:i w:val="0"/>
        </w:rPr>
        <w:t>Company Secretary &amp; Compliance Officer</w:t>
      </w:r>
    </w:p>
    <w:p>
      <w:pPr>
        <w:jc w:val="both"/>
      </w:pPr>
      <w:r>
        <w:rPr>
          <w:b w:val="0"/>
          <w:i w:val="0"/>
        </w:rPr>
        <w:t>ICSI Membership No.: A/F-{{CS_MEMBERSHIP_NO}}</w:t>
      </w:r>
    </w:p>
    <w:p>
      <w:pPr>
        <w:jc w:val="both"/>
      </w:pPr>
      <w:r>
        <w:rPr>
          <w:b w:val="0"/>
          <w:i w:val="0"/>
          <w:sz w:val="20"/>
        </w:rPr>
        <w:t>Tel: {{CS_PHONE}}  |  Email: {{CS_EMAIL}}</w:t>
      </w:r>
    </w:p>
    <w:p/>
    <w:p>
      <w:pPr>
        <w:jc w:val="both"/>
      </w:pPr>
      <w:r>
        <w:rPr>
          <w:b w:val="0"/>
          <w:i w:val="0"/>
        </w:rPr>
        <w:t>Place: {{ISSUE_PLACE}}</w:t>
      </w:r>
    </w:p>
    <w:p>
      <w:pPr>
        <w:jc w:val="both"/>
      </w:pPr>
      <w:r>
        <w:rPr>
          <w:b w:val="0"/>
          <w:i w:val="0"/>
        </w:rPr>
        <w:t>Date: {{NOTICE_DATE}}</w:t>
      </w:r>
    </w:p>
    <w:p/>
    <w:p>
      <w:pPr>
        <w:spacing w:before="240" w:after="80"/>
        <w:pBdr>
          <w:bottom w:val="single" w:sz="6" w:space="1" w:color="002060"/>
        </w:pBdr>
      </w:pPr>
      <w:r>
        <w:rPr>
          <w:b/>
          <w:color w:val="002060"/>
          <w:sz w:val="25"/>
        </w:rPr>
        <w:t>DISTRIBUTION LIST</w:t>
      </w:r>
    </w:p>
    <w:p>
      <w:pPr>
        <w:jc w:val="both"/>
      </w:pPr>
      <w:r>
        <w:rPr>
          <w:b w:val="0"/>
          <w:i w:val="0"/>
        </w:rPr>
        <w:t>Copy (with all Agenda papers and Notes on Agenda) to:</w:t>
      </w:r>
    </w:p>
    <w:p>
      <w:pPr>
        <w:pStyle w:val="ListBullet"/>
        <w:spacing w:after="40"/>
        <w:ind w:left="567"/>
        <w:jc w:val="both"/>
      </w:pPr>
      <w:r>
        <w:t>Each Director of the Company, by hand / by speed post / by courier / by registered post / by email, as per the address / email recorded with the Company</w:t>
      </w:r>
    </w:p>
    <w:p>
      <w:pPr>
        <w:pStyle w:val="ListBullet"/>
        <w:spacing w:after="40"/>
        <w:ind w:left="567"/>
        <w:jc w:val="both"/>
      </w:pPr>
      <w:r>
        <w:t>M/s. {{STATUTORY_AUDITOR_NAME}}, Chartered Accountants — Statutory Auditor (for items relating to financial statements / audit, by invitation)</w:t>
      </w:r>
    </w:p>
    <w:p>
      <w:pPr>
        <w:pStyle w:val="ListBullet"/>
        <w:spacing w:after="40"/>
        <w:ind w:left="567"/>
        <w:jc w:val="both"/>
      </w:pPr>
      <w:r>
        <w:t>M/s. {{SECRETARIAL_AUDITOR_NAME}}, Practising Company Secretary — Secretarial Auditor (for compliance-related items, by invitation)</w:t>
      </w:r>
    </w:p>
    <w:p>
      <w:pPr>
        <w:pStyle w:val="ListBullet"/>
        <w:spacing w:after="40"/>
        <w:ind w:left="567"/>
        <w:jc w:val="both"/>
      </w:pPr>
      <w:r>
        <w:t>M/s. {{COST_AUDITOR_NAME}} — Cost Auditor (where applicable, by invitation)</w:t>
      </w:r>
    </w:p>
    <w:p>
      <w:pPr>
        <w:pStyle w:val="ListBullet"/>
        <w:spacing w:after="40"/>
        <w:ind w:left="567"/>
        <w:jc w:val="both"/>
      </w:pPr>
      <w:r>
        <w:t>M/s. {{INTERNAL_AUDITOR_NAME}} — Internal Auditor (by invitation, as required)</w:t>
      </w:r>
    </w:p>
    <w:p>
      <w:pPr>
        <w:pStyle w:val="ListBullet"/>
        <w:spacing w:after="40"/>
        <w:ind w:left="567"/>
        <w:jc w:val="both"/>
      </w:pPr>
      <w:r>
        <w:t>Debenture-Trustee {{DEBENTURE_TRUSTEE_NAME}} (where applicable, for items relating to listed debt securities)</w:t>
      </w:r>
    </w:p>
    <w:p>
      <w:pPr>
        <w:pStyle w:val="ListBullet"/>
        <w:spacing w:after="40"/>
        <w:ind w:left="567"/>
        <w:jc w:val="both"/>
      </w:pPr>
      <w:r>
        <w:t>Stock Exchanges where the Company’s securities are listed (intimation of the Meeting in accordance with Regulation 29 of the SEBI (LODR) Regulations, 2015, where applicable, at least 5 working days in advance)</w:t>
      </w:r>
    </w:p>
    <w:p>
      <w:pPr>
        <w:pStyle w:val="ListBullet"/>
        <w:spacing w:after="40"/>
        <w:ind w:left="567"/>
        <w:jc w:val="both"/>
      </w:pPr>
      <w:r>
        <w:t>Compliance file of the Company</w:t>
      </w:r>
    </w:p>
    <w:p/>
    <w:p>
      <w:pPr>
        <w:spacing w:before="240" w:after="80"/>
        <w:pBdr>
          <w:bottom w:val="single" w:sz="6" w:space="1" w:color="002060"/>
        </w:pBdr>
      </w:pPr>
      <w:r>
        <w:rPr>
          <w:b/>
          <w:color w:val="002060"/>
          <w:sz w:val="25"/>
        </w:rPr>
        <w:t>DRAFTING NOTES &amp; COMPLIANCE CHECKLIST (FOR INTERNAL USE — REMOVE BEFORE CIRCULATION)</w:t>
      </w:r>
    </w:p>
    <w:p>
      <w:pPr>
        <w:pStyle w:val="ListBullet"/>
        <w:spacing w:after="40"/>
        <w:ind w:left="567"/>
        <w:jc w:val="both"/>
      </w:pPr>
      <w:r>
        <w:t>Notice period: Not less than 7 (seven) days before the Meeting (Sec 173(3) CA, 2013). May be served by hand delivery / speed post / registered post / facsimile / email. Shorter notice permissible only if (i) at least one Independent Director is present, OR (ii) decisions taken are circulated to all Directors and ratified by at least one Independent Director.</w:t>
      </w:r>
    </w:p>
    <w:p>
      <w:pPr>
        <w:pStyle w:val="ListBullet"/>
        <w:spacing w:after="40"/>
        <w:ind w:left="567"/>
        <w:jc w:val="both"/>
      </w:pPr>
      <w:r>
        <w:t>Quorum: 1/3rd of total strength or 2 Directors, whichever is higher (Sec 174(1)). Interested Directors not counted for quorum on the item in which they are interested (Sec 174(3)).</w:t>
      </w:r>
    </w:p>
    <w:p>
      <w:pPr>
        <w:pStyle w:val="ListBullet"/>
        <w:spacing w:after="40"/>
        <w:ind w:left="567"/>
        <w:jc w:val="both"/>
      </w:pPr>
      <w:r>
        <w:t>Meeting through VC/OAVM: Permissible except for items specified in Rule 4 of the Companies (Meetings of Board and its Powers) Rules, 2014 (now substantially relaxed via MCA Notifications dated 19.03.2020, 15.06.2021 and subsequent — verify latest position).</w:t>
      </w:r>
    </w:p>
    <w:p>
      <w:pPr>
        <w:pStyle w:val="ListBullet"/>
        <w:spacing w:after="40"/>
        <w:ind w:left="567"/>
        <w:jc w:val="both"/>
      </w:pPr>
      <w:r>
        <w:t>Minimum gap between two Board meetings: Not more than 120 days (Sec 173(1)).</w:t>
      </w:r>
    </w:p>
    <w:p>
      <w:pPr>
        <w:pStyle w:val="ListBullet"/>
        <w:spacing w:after="40"/>
        <w:ind w:left="567"/>
        <w:jc w:val="both"/>
      </w:pPr>
      <w:r>
        <w:t>Minimum number of Board meetings: 4 per year for non-OPC; for OPC / Small Company / Dormant / Section 8 Company, minimum 2 per year, one in each half (Sec 173(5)).</w:t>
      </w:r>
    </w:p>
    <w:p>
      <w:pPr>
        <w:pStyle w:val="ListBullet"/>
        <w:spacing w:after="40"/>
        <w:ind w:left="567"/>
        <w:jc w:val="both"/>
      </w:pPr>
      <w:r>
        <w:t>Special items requiring Resolution at Board meeting only (NOT by circulation): listed in Sec 179(3) read with Rule 8, including approval of financial statements, Board’s Report, calls on shareholders, allotment / buyback of securities, borrowings (subject to Sec 180 limits), investments, loans, guarantees, mergers, demergers, takeovers, Related Party Transactions.</w:t>
      </w:r>
    </w:p>
    <w:p>
      <w:pPr>
        <w:pStyle w:val="ListBullet"/>
        <w:spacing w:after="40"/>
        <w:ind w:left="567"/>
        <w:jc w:val="both"/>
      </w:pPr>
      <w:r>
        <w:t>Disclosure of interest by Directors: Annual disclosure in Form MBP-1 at the first Board meeting of the FY and on any change (Sec 184(1)). Interested Directors must disclose interest and abstain from participation under Sec 184(2).</w:t>
      </w:r>
    </w:p>
    <w:p>
      <w:pPr>
        <w:pStyle w:val="ListBullet"/>
        <w:spacing w:after="40"/>
        <w:ind w:left="567"/>
        <w:jc w:val="both"/>
      </w:pPr>
      <w:r>
        <w:t>Independent Directors’ Separate Meeting: At least one such meeting per year, without the presence of non-independent Directors / management (Schedule IV, Para VII of CA, 2013).</w:t>
      </w:r>
    </w:p>
    <w:p>
      <w:pPr>
        <w:pStyle w:val="ListBullet"/>
        <w:spacing w:after="40"/>
        <w:ind w:left="567"/>
        <w:jc w:val="both"/>
      </w:pPr>
      <w:r>
        <w:t>For Listed Companies — additional compliance with SEBI (LODR) Regulations, 2015: 24-hour intimation of decisions to Stock Exchanges (Reg 30 read with Schedule III), trading-window closure intimation (PIT Regulations, 2015).</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