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r>
        <w:rPr>
          <w:b w:val="0"/>
          <w:i/>
        </w:rPr>
        <w:t>(A Company incorporated under the Companies Act, {{COMPANIES_ACT_YEAR}})</w:t>
      </w:r>
    </w:p>
    <w:p>
      <w:r>
        <w:rPr>
          <w:b/>
          <w:i w:val="0"/>
          <w:sz w:val="20"/>
        </w:rPr>
        <w:t>Corporate Identification Number (CIN): {{COMPANY_CIN}}</w:t>
      </w:r>
    </w:p>
    <w:p>
      <w:r>
        <w:rPr>
          <w:b w:val="0"/>
          <w:i w:val="0"/>
          <w:sz w:val="20"/>
        </w:rPr>
        <w:t>Registered Office: {{REGD_OFFICE_ADDRESS_LINE_1}}, {{REGD_OFFICE_ADDRESS_LINE_2}}, {{REGD_OFFICE_CITY}} – {{REGD_OFFICE_PIN}}, {{REGD_OFFICE_STATE}}, India</w:t>
      </w:r>
    </w:p>
    <w:p>
      <w:r>
        <w:rPr>
          <w:b w:val="0"/>
          <w:i w:val="0"/>
          <w:sz w:val="20"/>
        </w:rPr>
        <w:t>Corporate Office (if different): {{CORPORATE_OFFICE_ADDRESS}}</w:t>
      </w:r>
    </w:p>
    <w:p>
      <w:r>
        <w:rPr>
          <w:b w:val="0"/>
          <w:i w:val="0"/>
          <w:sz w:val="20"/>
        </w:rPr>
        <w:t>Tel: {{COMPANY_PHONE}}  |  Email: {{COMPANY_EMAIL}}  |  Website: {{COMPANY_WEBSITE}}</w:t>
      </w:r>
    </w:p>
    <w:p>
      <w:r>
        <w:rPr>
          <w:b w:val="0"/>
          <w:i w:val="0"/>
          <w:sz w:val="20"/>
        </w:rPr>
        <w:t>GSTIN: {{COMPANY_GSTIN}}  |  PAN: {{COMPANY_PAN}}  |  TAN: {{COMPANY_TAN}}</w:t>
      </w:r>
    </w:p>
    <w:p/>
    <w:p>
      <w:r>
        <w:rPr>
          <w:b/>
          <w:i w:val="0"/>
        </w:rPr>
        <w:t>Ref. No.: {{OR_REFERENCE_NO}}/{{FINANCIAL_YEAR}}  |  Date: {{NOTICE_DATE}}  |  Place: {{ISSUE_PLACE}}</w:t>
      </w:r>
    </w:p>
    <w:p/>
    <w:p>
      <w:pPr>
        <w:spacing w:before="200" w:after="160"/>
        <w:jc w:val="center"/>
      </w:pPr>
      <w:r>
        <w:rPr>
          <w:b/>
          <w:color w:val="002060"/>
          <w:sz w:val="30"/>
        </w:rPr>
        <w:t>ORDINARY RESOLUTION OF THE MEMBERS</w:t>
      </w:r>
    </w:p>
    <w:p>
      <w:pPr>
        <w:spacing w:before="200" w:after="160"/>
        <w:jc w:val="center"/>
      </w:pPr>
      <w:r>
        <w:rPr>
          <w:b/>
          <w:color w:val="002060"/>
          <w:sz w:val="26"/>
        </w:rPr>
        <w:t>(Passed by Simple Majority under Section 114(1) of the Companies Act, 2013, at the Annual / Extra-Ordinary General Meeting / by Postal Ballot / through Remote E-Voting)</w:t>
      </w:r>
    </w:p>
    <w:p>
      <w:pPr>
        <w:spacing w:before="240" w:after="80"/>
        <w:pBdr>
          <w:bottom w:val="single" w:sz="6" w:space="1" w:color="002060"/>
        </w:pBdr>
      </w:pPr>
      <w:r>
        <w:rPr>
          <w:b/>
          <w:color w:val="002060"/>
          <w:sz w:val="25"/>
        </w:rPr>
        <w:t>MEETING / RESOLUTION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Name of the Company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{{REGD_OFFICE_ADDRESS}}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Type of Meeting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Annual General Meeting / Extra-Ordinary General Meeting / Postal Ballot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Meeting No. / AGM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{{AGM_OR_EGM_NUMBER_ORDINAL}} for FY {{FINANCIAL_YEAR}}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Day, Date &amp; Time of Meeting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{{MEETING_DAY}}, {{MEETING_DATE}} at {{MEETING_TIME}} hrs IST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Mode of Meeting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Physical / Video-Conference / OAVM</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Venue / Deemed Venue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{{MEETING_VENUE}} / Registered Office of the Company (deemed venue for VC meetings, in accordance with MCA General Circulars)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Notice Date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{{NOTICE_DATE}}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Notice Period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 less than 21 (twenty-one) clear days (Sec 101)</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Type of Resolution</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ORDINARY RESOLUTION (Simple Majority — Sec 114(1))</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Resolution Item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{{ITEM_NO}} in the Notice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Statutory Reference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{{STATUTORY_REFERENCE}}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Voting Mechanism</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Show of hands / Poll under Sec 109 / Remote e-Voting under Sec 108 / Postal Ballot under Sec 110</w:t>
            </w:r>
          </w:p>
        </w:tc>
      </w:tr>
    </w:tbl>
    <w:p/>
    <w:p>
      <w:pPr>
        <w:spacing w:before="240" w:after="80"/>
        <w:pBdr>
          <w:bottom w:val="single" w:sz="6" w:space="1" w:color="002060"/>
        </w:pBdr>
      </w:pPr>
      <w:r>
        <w:rPr>
          <w:b/>
          <w:color w:val="002060"/>
          <w:sz w:val="25"/>
        </w:rPr>
        <w:t>ITEM TAKEN UP AT ITEM NO. {{ITEM_NO}}</w:t>
      </w:r>
    </w:p>
    <w:p>
      <w:pPr>
        <w:spacing w:before="160" w:after="60"/>
      </w:pPr>
      <w:r>
        <w:rPr>
          <w:b/>
          <w:color w:val="002060"/>
          <w:sz w:val="23"/>
        </w:rPr>
        <w:t>Subject: {{RESOLUTION_SUBJECT}}</w:t>
      </w:r>
    </w:p>
    <w:p>
      <w:pPr>
        <w:jc w:val="both"/>
      </w:pPr>
      <w:r>
        <w:rPr>
          <w:b w:val="0"/>
          <w:i w:val="0"/>
        </w:rPr>
        <w:t>The Chairperson, with the consent of the Members present, took up Item No. {{ITEM_NO}} of the Notice for consideration. The Notice convening the Meeting having already been circulated to the Members in accordance with Section 101 of the Companies Act, 2013, was, with the consent of the Members, taken as read.</w:t>
      </w:r>
    </w:p>
    <w:p/>
    <w:p>
      <w:pPr>
        <w:jc w:val="both"/>
      </w:pPr>
      <w:r>
        <w:rPr>
          <w:b w:val="0"/>
          <w:i w:val="0"/>
        </w:rPr>
        <w:t>The Chairperson briefly explained the proposal and the Members deliberated thereon. The Company Secretary ({{CS_NAME}}) clarified the procedural and statutory aspects of the proposal. Pursuant to the deliberations, the Chairperson put the following resolution to vote as an Ordinary Resolution:</w:t>
      </w:r>
    </w:p>
    <w:p/>
    <w:p>
      <w:pPr>
        <w:spacing w:before="240" w:after="80"/>
        <w:pBdr>
          <w:bottom w:val="single" w:sz="6" w:space="1" w:color="002060"/>
        </w:pBdr>
      </w:pPr>
      <w:r>
        <w:rPr>
          <w:b/>
          <w:color w:val="002060"/>
          <w:sz w:val="25"/>
        </w:rPr>
        <w:t>RESOLUTION</w:t>
      </w:r>
    </w:p>
    <w:p>
      <w:pPr>
        <w:jc w:val="both"/>
      </w:pPr>
      <w:r>
        <w:rPr>
          <w:b/>
          <w:i w:val="0"/>
        </w:rPr>
        <w:t>“RESOLVED THAT, pursuant to the provisions of {{STATUTORY_PROVISIONS_CITED}} of the Companies Act, 2013, the Rules made thereunder (including any statutory modification(s) or re-enactment(s) thereof for the time being in force), the Articles of Association of the Company, and subject to such approvals, consents, sanctions and permissions as may be required from any regulatory or statutory authority(ies), the consent of the Members of the Company be and is hereby accorded by way of an Ordinary Resolution, to {{OPERATIVE_TEXT_OF_RESOLUTION}}, on the terms and conditions more particularly set out in the Explanatory Statement annexed to the Notice convening this Meeting.</w:t>
      </w:r>
    </w:p>
    <w:p/>
    <w:p>
      <w:pPr>
        <w:jc w:val="both"/>
      </w:pPr>
      <w:r>
        <w:rPr>
          <w:b/>
          <w:i w:val="0"/>
        </w:rPr>
        <w:t>“RESOLVED FURTHER THAT the Board of Directors of the Company (which expression shall include any Committee duly constituted thereof) be and is hereby AUTHORISED to do all such acts, deeds, matters and things and to execute all such documents, agreements, deeds, applications, e-forms and writings as may be necessary, expedient or desirable to give effect to the foregoing Resolution, including settling any question or doubt that may arise in relation thereto, without being required to seek any further consent or approval of the Members.”</w:t>
      </w:r>
    </w:p>
    <w:p/>
    <w:p>
      <w:pPr>
        <w:spacing w:before="240" w:after="80"/>
        <w:pBdr>
          <w:bottom w:val="single" w:sz="6" w:space="1" w:color="002060"/>
        </w:pBdr>
      </w:pPr>
      <w:r>
        <w:rPr>
          <w:b/>
          <w:color w:val="002060"/>
          <w:sz w:val="25"/>
        </w:rPr>
        <w:t>VOTING RESULT</w:t>
      </w:r>
    </w:p>
    <w:p>
      <w:pPr>
        <w:jc w:val="both"/>
      </w:pPr>
      <w:r>
        <w:rPr>
          <w:b w:val="0"/>
          <w:i w:val="0"/>
        </w:rPr>
        <w:t>The resolution was put to vote in accordance with Section 114 of the Companies Act, 2013, the Articles of Association and Secretarial Standard SS-2. The resolution was required to be passed by simple majority (&gt;50% of votes cast).</w:t>
      </w:r>
    </w:p>
    <w:p/>
    <w:tbl>
      <w:tblPr>
        <w:tblW w:type="auto" w:w="0"/>
        <w:jc w:val="center"/>
        <w:tblLayout w:type="fixed"/>
        <w:tblLook w:firstColumn="1" w:firstRow="1" w:lastColumn="0" w:lastRow="0" w:noHBand="0" w:noVBand="1" w:val="04A0"/>
      </w:tblPr>
      <w:tblGrid>
        <w:gridCol w:w="2436"/>
        <w:gridCol w:w="2436"/>
        <w:gridCol w:w="2436"/>
        <w:gridCol w:w="2436"/>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Members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Shares / Votes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of Total Votes Cast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Votes in Favour (FOR)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{{VOTES_FOR_MEMBERS}}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{{VOTES_FOR_SHARES}}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{{VOTES_FOR_PERCENT}}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Votes Against (AGAINST)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{{VOTES_AGAINST_MEMBERS}}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{{VOTES_AGAINST_SHARES}}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{{VOTES_AGAINST_PERCENT}}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Invalid Votes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{{VOTES_INVALID_MEMBERS}}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{{VOTES_INVALID_SHARES}}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{{VOTES_INVALID_PERCENT}}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VALID VOTES CAST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{{TOTAL_VOTES_MEMBERS}}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{{TOTAL_VOTES_SHARES}}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100.00%</w:t>
            </w:r>
          </w:p>
        </w:tc>
      </w:tr>
    </w:tbl>
    <w:p/>
    <w:p>
      <w:pPr>
        <w:jc w:val="both"/>
      </w:pPr>
      <w:r>
        <w:rPr>
          <w:b w:val="0"/>
          <w:i w:val="0"/>
        </w:rPr>
        <w:t>Based on the above, the Scrutinizer ({{SCRUTINIZER_NAME}}, {{SCRUTINIZER_CREDENTIALS}}, appointed under Section 109 / Rule 20 of the said Rules) has certified that the Ordinary Resolution as set out above has been DULY PASSED / NOT PASSED, as the case may be. The Scrutinizer’s Report dated {{SCRUTINIZER_REPORT_DATE}} is attached and shall form part of the Minutes.</w:t>
      </w:r>
    </w:p>
    <w:p/>
    <w:p>
      <w:pPr>
        <w:spacing w:before="240" w:after="80"/>
        <w:pBdr>
          <w:bottom w:val="single" w:sz="6" w:space="1" w:color="002060"/>
        </w:pBdr>
      </w:pPr>
      <w:r>
        <w:rPr>
          <w:b/>
          <w:color w:val="002060"/>
          <w:sz w:val="25"/>
        </w:rPr>
        <w:t>DECLARATION OF RESULT</w:t>
      </w:r>
    </w:p>
    <w:p>
      <w:pPr>
        <w:jc w:val="both"/>
      </w:pPr>
      <w:r>
        <w:rPr>
          <w:b/>
          <w:i w:val="0"/>
        </w:rPr>
        <w:t>Based on the report of the Scrutinizer and the votes cast in favour of the Resolution being more than 50% (fifty per cent) of the total valid votes cast, the Chairperson DECLARED the Ordinary Resolution as set out above to have been DULY PASSED, in accordance with Section 114(1) of the Companies Act, 2013.</w:t>
      </w:r>
    </w:p>
    <w:p/>
    <w:p>
      <w:pPr>
        <w:spacing w:before="240" w:after="80"/>
        <w:pBdr>
          <w:bottom w:val="single" w:sz="6" w:space="1" w:color="002060"/>
        </w:pBdr>
      </w:pPr>
      <w:r>
        <w:rPr>
          <w:b/>
          <w:color w:val="002060"/>
          <w:sz w:val="25"/>
        </w:rPr>
        <w:t>ROC FILING REQUIREMENTS</w:t>
      </w:r>
    </w:p>
    <w:p>
      <w:pPr>
        <w:jc w:val="both"/>
      </w:pPr>
      <w:r>
        <w:rPr>
          <w:b w:val="0"/>
          <w:i w:val="0"/>
        </w:rPr>
        <w:t>The Company shall file the prescribed forms with the Registrar of Companies (RoC) within the timelines set out below:</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Form</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Statutory Provision</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Filing Deadline</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Internal Records &amp; Minutes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Section 118 of the Companies Act, 2013 + SS-2</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Minutes signed within 30 days of conclusion of the Meeting</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Maintain in the Minutes Book; not ordinarily filed with RoC for Ordinary Resolutions, unless the specific item attracts Sec 117(3) (e.g., resolution specifying borrowing limit under Sec 180(1)(c) — though that is itself a Special Resolution).</w:t>
            </w:r>
          </w:p>
        </w:tc>
      </w:tr>
      <w:tr>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Stock Exchange Intimation</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Regulation 30 + Schedule III of SEBI (LODR) Regulations, 2015</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Within 24 hours of conclusion of Meeting; for outcome of e-voting, within 2 working days under Reg 44</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Listed companies only. Stock Exchange intimation of the outcome of voting in the prescribed format.</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Scrutinizer’s Report</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Rule 20(4)(xii) of Companies (Management &amp; Administration) Rules, 2014</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Within 3 working days of conclusion of e-voting / Meeting</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To be submitted to the Chairperson, who declares the result; uploaded on the website of the Company and on the e-voting platform.</w:t>
            </w:r>
          </w:p>
        </w:tc>
      </w:tr>
    </w:tbl>
    <w:p/>
    <w:p>
      <w:pPr>
        <w:jc w:val="both"/>
      </w:pPr>
      <w:r>
        <w:rPr>
          <w:b w:val="0"/>
          <w:i/>
          <w:sz w:val="18"/>
        </w:rPr>
        <w:t>Failure to file within the prescribed period attracts additional fees under Section 403 of the Companies Act, 2013 and may result in penalties / proceedings under Sections 117 / 450 of the said Act and the Rules made thereunder.</w:t>
      </w:r>
    </w:p>
    <w:p/>
    <w:p>
      <w:pPr>
        <w:spacing w:before="240" w:after="80"/>
        <w:pBdr>
          <w:bottom w:val="single" w:sz="6" w:space="1" w:color="002060"/>
        </w:pBdr>
      </w:pPr>
      <w:r>
        <w:rPr>
          <w:b/>
          <w:color w:val="002060"/>
          <w:sz w:val="25"/>
        </w:rPr>
        <w:t>CERTIFIED TRUE COPY</w:t>
      </w:r>
    </w:p>
    <w:p>
      <w:pPr>
        <w:jc w:val="both"/>
      </w:pPr>
      <w:r>
        <w:rPr>
          <w:b w:val="0"/>
          <w:i w:val="0"/>
        </w:rPr>
        <w:t>Certified to be a true copy of the resolution duly passed and recorded in the Minutes of the Meeting held on the date stated above. The Original Minutes are signed by the Chairperson of the Meeting and form part of the statutory records of the Company maintained under Section 118 of the Companies Act, 2013.</w:t>
      </w:r>
    </w:p>
    <w:p/>
    <w:p/>
    <w:p>
      <w:pPr>
        <w:jc w:val="both"/>
      </w:pPr>
      <w:r>
        <w:rPr>
          <w:b/>
          <w:i w:val="0"/>
        </w:rPr>
        <w:t>For {{COMPANY_NAME}}</w:t>
      </w:r>
    </w:p>
    <w:p/>
    <w:p>
      <w:pPr>
        <w:jc w:val="both"/>
      </w:pPr>
      <w:r>
        <w:rPr>
          <w:b w:val="0"/>
          <w:i w:val="0"/>
        </w:rPr>
        <w:t>_________________________________</w:t>
      </w:r>
    </w:p>
    <w:p>
      <w:pPr>
        <w:jc w:val="both"/>
      </w:pPr>
      <w:r>
        <w:rPr>
          <w:b/>
          <w:i w:val="0"/>
        </w:rPr>
        <w:t>({{CS_NAME}})</w:t>
      </w:r>
    </w:p>
    <w:p>
      <w:pPr>
        <w:jc w:val="both"/>
      </w:pPr>
      <w:r>
        <w:rPr>
          <w:b w:val="0"/>
          <w:i w:val="0"/>
        </w:rPr>
        <w:t>Company Secretary &amp; Compliance Officer</w:t>
      </w:r>
    </w:p>
    <w:p>
      <w:pPr>
        <w:jc w:val="both"/>
      </w:pPr>
      <w:r>
        <w:rPr>
          <w:b w:val="0"/>
          <w:i w:val="0"/>
        </w:rPr>
        <w:t>ICSI Membership No.: A/F-{{CS_MEMBERSHIP_NO}}</w:t>
      </w:r>
    </w:p>
    <w:p/>
    <w:p>
      <w:pPr>
        <w:jc w:val="both"/>
      </w:pPr>
      <w:r>
        <w:rPr>
          <w:b w:val="0"/>
          <w:i w:val="0"/>
        </w:rPr>
        <w:t>Place: {{CERTIFICATION_PLACE}}</w:t>
      </w:r>
    </w:p>
    <w:p>
      <w:pPr>
        <w:jc w:val="both"/>
      </w:pPr>
      <w:r>
        <w:rPr>
          <w:b w:val="0"/>
          <w:i w:val="0"/>
        </w:rPr>
        <w:t>Date: {{CERTIFICATION_DATE}}</w:t>
      </w:r>
    </w:p>
    <w:p/>
    <w:p>
      <w:pPr>
        <w:spacing w:before="240" w:after="80"/>
        <w:pBdr>
          <w:bottom w:val="single" w:sz="6" w:space="1" w:color="002060"/>
        </w:pBdr>
      </w:pPr>
      <w:r>
        <w:rPr>
          <w:b/>
          <w:color w:val="002060"/>
          <w:sz w:val="25"/>
        </w:rPr>
        <w:t>INDICATIVE LIST OF ITEMS USUALLY REQUIRING AN ORDINARY RESOLUTION</w:t>
      </w:r>
    </w:p>
    <w:p>
      <w:pPr>
        <w:pStyle w:val="ListBullet"/>
        <w:spacing w:after="40"/>
        <w:ind w:left="567"/>
        <w:jc w:val="both"/>
      </w:pPr>
      <w:r>
        <w:t>Adoption of the audited financial statements (standalone and consolidated) and the Reports of the Board and Statutory Auditor thereon — Sec 96(2)(a).</w:t>
      </w:r>
    </w:p>
    <w:p>
      <w:pPr>
        <w:pStyle w:val="ListBullet"/>
        <w:spacing w:after="40"/>
        <w:ind w:left="567"/>
        <w:jc w:val="both"/>
      </w:pPr>
      <w:r>
        <w:t>Declaration of dividend — Sec 102(2) / Sec 123 (recommended by Board, declared by Members).</w:t>
      </w:r>
    </w:p>
    <w:p>
      <w:pPr>
        <w:pStyle w:val="ListBullet"/>
        <w:spacing w:after="40"/>
        <w:ind w:left="567"/>
        <w:jc w:val="both"/>
      </w:pPr>
      <w:r>
        <w:t>Appointment of Director in place of one retiring by rotation — Sec 152(6).</w:t>
      </w:r>
    </w:p>
    <w:p>
      <w:pPr>
        <w:pStyle w:val="ListBullet"/>
        <w:spacing w:after="40"/>
        <w:ind w:left="567"/>
        <w:jc w:val="both"/>
      </w:pPr>
      <w:r>
        <w:t>Appointment / re-appointment of Statutory Auditor for the period from conclusion of one AGM until the conclusion of the next 6th AGM — Sec 139(1) (read with Rule 3 of the Audit Rules, 2014).</w:t>
      </w:r>
    </w:p>
    <w:p>
      <w:pPr>
        <w:pStyle w:val="ListBullet"/>
        <w:spacing w:after="40"/>
        <w:ind w:left="567"/>
        <w:jc w:val="both"/>
      </w:pPr>
      <w:r>
        <w:t>Fixation of remuneration of Statutory Auditor — Sec 142.</w:t>
      </w:r>
    </w:p>
    <w:p>
      <w:pPr>
        <w:pStyle w:val="ListBullet"/>
        <w:spacing w:after="40"/>
        <w:ind w:left="567"/>
        <w:jc w:val="both"/>
      </w:pPr>
      <w:r>
        <w:t>Appointment of Additional / Alternate / Casual-Vacancy / Nominee Director, requiring regularisation by Members at the next General Meeting — Sec 161.</w:t>
      </w:r>
    </w:p>
    <w:p>
      <w:pPr>
        <w:pStyle w:val="ListBullet"/>
        <w:spacing w:after="40"/>
        <w:ind w:left="567"/>
        <w:jc w:val="both"/>
      </w:pPr>
      <w:r>
        <w:t>Issue of Bonus Shares (recommended by Board, approved by Members) — Sec 63(2).</w:t>
      </w:r>
    </w:p>
    <w:p>
      <w:pPr>
        <w:pStyle w:val="ListBullet"/>
        <w:spacing w:after="40"/>
        <w:ind w:left="567"/>
        <w:jc w:val="both"/>
      </w:pPr>
      <w:r>
        <w:t>Increase in authorised share capital — Sec 61(1)(a) (though triggers MoA amendment, only Ordinary Resolution required).</w:t>
      </w:r>
    </w:p>
    <w:p>
      <w:pPr>
        <w:pStyle w:val="ListBullet"/>
        <w:spacing w:after="40"/>
        <w:ind w:left="567"/>
        <w:jc w:val="both"/>
      </w:pPr>
      <w:r>
        <w:t>Sub-division / consolidation / conversion of shares — Sec 61(1)(b)–(d).</w:t>
      </w:r>
    </w:p>
    <w:p>
      <w:pPr>
        <w:pStyle w:val="ListBullet"/>
        <w:spacing w:after="40"/>
        <w:ind w:left="567"/>
        <w:jc w:val="both"/>
      </w:pPr>
      <w:r>
        <w:t>Acceptance of public deposits within prescribed limits — Sec 73 / Sec 76 (within ceiling).</w:t>
      </w:r>
    </w:p>
    <w:p>
      <w:pPr>
        <w:pStyle w:val="ListBullet"/>
        <w:spacing w:after="40"/>
        <w:ind w:left="567"/>
        <w:jc w:val="both"/>
      </w:pPr>
      <w:r>
        <w:t>Appointment / removal of Cost Auditor — Sec 148.</w:t>
      </w:r>
    </w:p>
    <w:p>
      <w:pPr>
        <w:pStyle w:val="ListBullet"/>
        <w:spacing w:after="40"/>
        <w:ind w:left="567"/>
        <w:jc w:val="both"/>
      </w:pPr>
      <w:r>
        <w:t>Related Party Transactions exceeding threshold under Rule 15(3) of the Meetings Rules — Sec 188 (now Ordinary Resolution after Sec 188 amendment in 2015).</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