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{{COMPANY_NAME}}</w:t>
      </w:r>
    </w:p>
    <w:p>
      <w:r>
        <w:rPr>
          <w:b w:val="0"/>
          <w:i/>
        </w:rPr>
        <w:t>(A Company incorporated under the Companies Act, {{COMPANIES_ACT_YEAR}})</w:t>
      </w:r>
    </w:p>
    <w:p>
      <w:r>
        <w:rPr>
          <w:b/>
          <w:i w:val="0"/>
          <w:sz w:val="20"/>
        </w:rPr>
        <w:t>Corporate Identification Number (CIN): {{COMPANY_CIN}}</w:t>
      </w:r>
    </w:p>
    <w:p>
      <w:r>
        <w:rPr>
          <w:b w:val="0"/>
          <w:i w:val="0"/>
          <w:sz w:val="20"/>
        </w:rPr>
        <w:t>Registered Office: {{REGD_OFFICE_ADDRESS_LINE_1}}, {{REGD_OFFICE_ADDRESS_LINE_2}}, {{REGD_OFFICE_CITY}} – {{REGD_OFFICE_PIN}}, {{REGD_OFFICE_STATE}}, India</w:t>
      </w:r>
    </w:p>
    <w:p>
      <w:r>
        <w:rPr>
          <w:b w:val="0"/>
          <w:i w:val="0"/>
          <w:sz w:val="20"/>
        </w:rPr>
        <w:t>Corporate Office (if different): {{CORPORATE_OFFICE_ADDRESS}}</w:t>
      </w:r>
    </w:p>
    <w:p>
      <w:r>
        <w:rPr>
          <w:b w:val="0"/>
          <w:i w:val="0"/>
          <w:sz w:val="20"/>
        </w:rPr>
        <w:t>Tel: {{COMPANY_PHONE}}  |  Email: {{COMPANY_EMAIL}}  |  Website: {{COMPANY_WEBSITE}}</w:t>
      </w:r>
    </w:p>
    <w:p>
      <w:r>
        <w:rPr>
          <w:b w:val="0"/>
          <w:i w:val="0"/>
          <w:sz w:val="20"/>
        </w:rPr>
        <w:t>GSTIN: {{COMPANY_GSTIN}}  |  PAN: {{COMPANY_PAN}}  |  TAN: {{COMPANY_TAN}}</w:t>
      </w:r>
    </w:p>
    <w:p/>
    <w:p>
      <w:r>
        <w:rPr>
          <w:b/>
          <w:i w:val="0"/>
        </w:rPr>
        <w:t>Ref. No.: {{SR_REFERENCE_NO}}/{{FINANCIAL_YEAR}}  |  Date: {{NOTICE_DATE}}  |  Place: {{ISSUE_PLACE}}</w:t>
      </w:r>
    </w:p>
    <w:p/>
    <w:p>
      <w:pPr>
        <w:spacing w:before="200" w:after="160"/>
        <w:jc w:val="center"/>
      </w:pPr>
      <w:r>
        <w:rPr>
          <w:b/>
          <w:color w:val="002060"/>
          <w:sz w:val="30"/>
        </w:rPr>
        <w:t>SPECIAL RESOLUTION OF THE MEMBERS</w:t>
      </w:r>
    </w:p>
    <w:p>
      <w:pPr>
        <w:spacing w:before="200" w:after="160"/>
        <w:jc w:val="center"/>
      </w:pPr>
      <w:r>
        <w:rPr>
          <w:b/>
          <w:color w:val="002060"/>
          <w:sz w:val="26"/>
        </w:rPr>
        <w:t>(Passed by not less than three-fourths (75%) majority under Section 114(2) of the Companies Act, 2013, at the Annual / Extra-Ordinary General Meeting / by Postal Ballot / through Remote E-Voting; intention duly stated as required)</w:t>
      </w:r>
    </w:p>
    <w:p>
      <w:pPr>
        <w:jc w:val="both"/>
      </w:pPr>
      <w:r>
        <w:rPr>
          <w:b w:val="0"/>
          <w:i/>
          <w:sz w:val="20"/>
        </w:rPr>
        <w:t>[NOTE: A resolution shall be deemed a Special Resolution only where (a) the intention to propose the resolution as a special resolution has been duly specified in the Notice; (b) the Notice has been duly given; AND (c) the votes cast in favour are not less than 3 (three) times the votes cast against (i.e., ≥75% of valid votes cast) — Sec 114(2) of the Companies Act, 2013. Filing with Registrar of Companies in Form MGT-14 within 30 days is MANDATORY for ALL Special Resolutions under Sec 117(3)(a) read with Sec 117(2). Default attracts penalty under Sec 117(2) read with the third proviso, of ₹10,000 for the Company and ₹10,000 for each officer in default, with a further ₹100 per day of continuing default (subject to maximum caps).]</w:t>
      </w:r>
    </w:p>
    <w:p/>
    <w:p>
      <w:pPr>
        <w:spacing w:before="240" w:after="80"/>
        <w:pBdr>
          <w:bottom w:val="single" w:sz="6" w:space="1" w:color="002060"/>
        </w:pBdr>
      </w:pPr>
      <w:r>
        <w:rPr>
          <w:b/>
          <w:color w:val="002060"/>
          <w:sz w:val="25"/>
        </w:rPr>
        <w:t>MEETING / RESOLUTION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Name of the Company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{{COMPANY_NAME}}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CIN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{{COMPANY_CIN}}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Registered Office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{{REGD_OFFICE_ADDRESS}}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Type of Meeting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Annual General Meeting / Extra-Ordinary General Meeting / Postal Ballot under Sec 110</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Day, Date &amp; Time of Meeting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{{MEETING_DAY}}, {{MEETING_DATE}} at {{MEETING_TIME}} hrs IST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Meeting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Physical / Video-Conference / OAVM</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Venue / Deemed Venue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{{MEETING_VENUE}} / Registered Office (deemed venue for VC meetings)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Notice Date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{{NOTICE_DATE}}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Notice Period</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Not less than 21 (twenty-one) clear days (Sec 101); intention to propose as Special Resolution duly specified in the Notice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Type of Resolution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SPECIAL RESOLUTION (≥75% majority under Sec 114(2))</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Resolution Item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{{ITEM_NO}} in the Notice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Statutory Reference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{{STATUTORY_REFERENCE}}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MGT-14 Filing Deadline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Within 30 days of passing (Sec 117(1) read with Sec 117(3)(a))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Voting Mechanism</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Poll under Sec 109 / Remote e-Voting under Sec 108 / Postal Ballot under Sec 110</w:t>
            </w:r>
          </w:p>
        </w:tc>
      </w:tr>
    </w:tbl>
    <w:p/>
    <w:p>
      <w:pPr>
        <w:spacing w:before="240" w:after="80"/>
        <w:pBdr>
          <w:bottom w:val="single" w:sz="6" w:space="1" w:color="002060"/>
        </w:pBdr>
      </w:pPr>
      <w:r>
        <w:rPr>
          <w:b/>
          <w:color w:val="002060"/>
          <w:sz w:val="25"/>
        </w:rPr>
        <w:t>ITEM TAKEN UP AT ITEM NO. {{ITEM_NO}}</w:t>
      </w:r>
    </w:p>
    <w:p>
      <w:pPr>
        <w:spacing w:before="160" w:after="60"/>
      </w:pPr>
      <w:r>
        <w:rPr>
          <w:b/>
          <w:color w:val="002060"/>
          <w:sz w:val="23"/>
        </w:rPr>
        <w:t>Subject: {{RESOLUTION_SUBJECT}}</w:t>
      </w:r>
    </w:p>
    <w:p>
      <w:pPr>
        <w:jc w:val="both"/>
      </w:pPr>
      <w:r>
        <w:rPr>
          <w:b w:val="0"/>
          <w:i w:val="0"/>
        </w:rPr>
        <w:t>The Chairperson invited the attention of the Members to Item No. {{ITEM_NO}} of the Notice convening the Meeting, wherein it was specifically stated that the resolution set out at the said Item is proposed to be passed as a SPECIAL RESOLUTION. The Notice and the Explanatory Statement under Section 102 of the Companies Act, 2013, annexed thereto, were, with the consent of the Members, taken as read.</w:t>
      </w:r>
    </w:p>
    <w:p/>
    <w:p>
      <w:pPr>
        <w:jc w:val="both"/>
      </w:pPr>
      <w:r>
        <w:rPr>
          <w:b w:val="0"/>
          <w:i w:val="0"/>
        </w:rPr>
        <w:t>The Chairperson set out the background, rationale and material facts of the proposal and invited the Members to deliberate thereon. After detailed discussion, the Chairperson put the following resolution to vote as a Special Resolution:</w:t>
      </w:r>
    </w:p>
    <w:p/>
    <w:p>
      <w:pPr>
        <w:spacing w:before="240" w:after="80"/>
        <w:pBdr>
          <w:bottom w:val="single" w:sz="6" w:space="1" w:color="002060"/>
        </w:pBdr>
      </w:pPr>
      <w:r>
        <w:rPr>
          <w:b/>
          <w:color w:val="002060"/>
          <w:sz w:val="25"/>
        </w:rPr>
        <w:t>RESOLUTION</w:t>
      </w:r>
    </w:p>
    <w:p>
      <w:pPr>
        <w:jc w:val="both"/>
      </w:pPr>
      <w:r>
        <w:rPr>
          <w:b/>
          <w:i w:val="0"/>
        </w:rPr>
        <w:t>“RESOLVED THAT, pursuant to the provisions of {{STATUTORY_PROVISIONS_CITED}} of the Companies Act, 2013, the Rules made thereunder (including any statutory modification(s) or re-enactment(s) thereof for the time being in force), the Articles of Association of the Company, and subject to such approvals, consents, sanctions, permissions and conditions as may be necessary from any Government, statutory or regulatory authority(ies) (including, where applicable, the Registrar of Companies, the Reserve Bank of India, the Securities and Exchange Board of India, the Stock Exchanges, the Ministry of Corporate Affairs and the Competition Commission of India), the consent of the Members of the Company be and is hereby ACCORDED, by way of a SPECIAL RESOLUTION, to {{OPERATIVE_TEXT_OF_RESOLUTION}}, on the terms and conditions more particularly set out in the Explanatory Statement annexed to the Notice convening this Meeting.</w:t>
      </w:r>
    </w:p>
    <w:p/>
    <w:p>
      <w:pPr>
        <w:jc w:val="both"/>
      </w:pPr>
      <w:r>
        <w:rPr>
          <w:b/>
          <w:i w:val="0"/>
        </w:rPr>
        <w:t>“RESOLVED FURTHER THAT the Board of Directors of the Company (which expression shall include any Committee duly constituted thereof, or any director / officer severally authorised by the Board in this regard) be and is hereby AUTHORISED to do all such acts, deeds, matters and things, to negotiate and finalise such terms and conditions, and to execute all such documents, agreements, deeds, declarations, undertakings, applications, e-forms, indemnities, writings, returns and filings as may be necessary, expedient or desirable in the matter to give effect to the foregoing Resolution, including filing of Form MGT-14 with the Registrar of Companies within 30 (thirty) days of passing of this Resolution in accordance with Section 117 of the Companies Act, 2013, and to settle all questions, difficulties or doubts that may arise in this regard, without being required to seek any further consent or approval of the Members.”</w:t>
      </w:r>
    </w:p>
    <w:p/>
    <w:p>
      <w:pPr>
        <w:spacing w:before="240" w:after="80"/>
        <w:pBdr>
          <w:bottom w:val="single" w:sz="6" w:space="1" w:color="002060"/>
        </w:pBdr>
      </w:pPr>
      <w:r>
        <w:rPr>
          <w:b/>
          <w:color w:val="002060"/>
          <w:sz w:val="25"/>
        </w:rPr>
        <w:t>VOTING RESULT</w:t>
      </w:r>
    </w:p>
    <w:p>
      <w:pPr>
        <w:jc w:val="both"/>
      </w:pPr>
      <w:r>
        <w:rPr>
          <w:b w:val="0"/>
          <w:i w:val="0"/>
        </w:rPr>
        <w:t>The resolution was put to vote in accordance with Section 114 of the Companies Act, 2013, the Articles of Association and Secretarial Standard SS-2. The resolution was required to be passed by special majority (≥75% of votes cast).</w:t>
      </w:r>
    </w:p>
    <w:p/>
    <w:tbl>
      <w:tblPr>
        <w:tblW w:type="auto" w:w="0"/>
        <w:jc w:val="center"/>
        <w:tblLayout w:type="fixed"/>
        <w:tblLook w:firstColumn="1" w:firstRow="1" w:lastColumn="0" w:lastRow="0" w:noHBand="0" w:noVBand="1" w:val="04A0"/>
      </w:tblPr>
      <w:tblGrid>
        <w:gridCol w:w="2436"/>
        <w:gridCol w:w="2436"/>
        <w:gridCol w:w="2436"/>
        <w:gridCol w:w="2436"/>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No. of Members</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No. of Shares / Votes</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 of Total Votes Cast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Votes in Favour (FOR)</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{{VOTES_FOR_MEMBERS}}</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{{VOTES_FOR_SHARES}}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{{VOTES_FOR_PERCENT}}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Votes Against (AGAINST)</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{{VOTES_AGAINST_MEMBERS}}</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{{VOTES_AGAINST_SHARES}}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{{VOTES_AGAINST_PERCENT}}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Invalid Votes</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{{VOTES_INVALID_MEMBERS}}</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{{VOTES_INVALID_SHARES}}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{{VOTES_INVALID_PERCENT}}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TOTAL VALID VOTES CAST</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{{TOTAL_VOTES_MEMBERS}}</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{{TOTAL_VOTES_SHARES}}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100.00%</w:t>
            </w:r>
          </w:p>
        </w:tc>
      </w:tr>
    </w:tbl>
    <w:p/>
    <w:p>
      <w:pPr>
        <w:jc w:val="both"/>
      </w:pPr>
      <w:r>
        <w:rPr>
          <w:b w:val="0"/>
          <w:i w:val="0"/>
        </w:rPr>
        <w:t>Based on the above, the Scrutinizer ({{SCRUTINIZER_NAME}}, {{SCRUTINIZER_CREDENTIALS}}, appointed under Section 109 / Rule 20 of the said Rules) has certified that the Special Resolution as set out above has been DULY PASSED / NOT PASSED, as the case may be. The Scrutinizer’s Report dated {{SCRUTINIZER_REPORT_DATE}} is attached and shall form part of the Minutes.</w:t>
      </w:r>
    </w:p>
    <w:p/>
    <w:p>
      <w:pPr>
        <w:spacing w:before="240" w:after="80"/>
        <w:pBdr>
          <w:bottom w:val="single" w:sz="6" w:space="1" w:color="002060"/>
        </w:pBdr>
      </w:pPr>
      <w:r>
        <w:rPr>
          <w:b/>
          <w:color w:val="002060"/>
          <w:sz w:val="25"/>
        </w:rPr>
        <w:t>DECLARATION OF RESULT</w:t>
      </w:r>
    </w:p>
    <w:p>
      <w:pPr>
        <w:jc w:val="both"/>
      </w:pPr>
      <w:r>
        <w:rPr>
          <w:b/>
          <w:i w:val="0"/>
        </w:rPr>
        <w:t>Based on the Report of the Scrutinizer and the votes cast in favour of the Resolution being not less than 75% (seventy-five per cent) of the total valid votes cast, AND the requirement of three times the votes cast against being satisfied, the Chairperson DECLARED the Special Resolution as set out above to have been DULY PASSED, in accordance with Section 114(2) of the Companies Act, 2013.</w:t>
      </w:r>
    </w:p>
    <w:p/>
    <w:p>
      <w:pPr>
        <w:spacing w:before="240" w:after="80"/>
        <w:pBdr>
          <w:bottom w:val="single" w:sz="6" w:space="1" w:color="002060"/>
        </w:pBdr>
      </w:pPr>
      <w:r>
        <w:rPr>
          <w:b/>
          <w:color w:val="002060"/>
          <w:sz w:val="25"/>
        </w:rPr>
        <w:t>ROC FILING REQUIREMENTS</w:t>
      </w:r>
    </w:p>
    <w:p>
      <w:pPr>
        <w:jc w:val="both"/>
      </w:pPr>
      <w:r>
        <w:rPr>
          <w:b w:val="0"/>
          <w:i w:val="0"/>
        </w:rPr>
        <w:t>The Company shall file the prescribed forms with the Registrar of Companies (RoC) within the timelines set out below:</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13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Form</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Statutory Provision</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Filing Deadline</w:t>
            </w:r>
          </w:p>
        </w:tc>
        <w:tc>
          <w:tcPr>
            <w:tcW w:type="dxa" w:w="425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Description</w:t>
            </w:r>
          </w:p>
        </w:tc>
      </w:tr>
      <w:tr>
        <w:tc>
          <w:tcPr>
            <w:tcW w:type="dxa" w:w="1134"/>
            <w:tcBorders>
              <w:top w:val="single" w:sz="4" w:color="808080"/>
              <w:left w:val="single" w:sz="4" w:color="808080"/>
              <w:bottom w:val="single" w:sz="4" w:color="808080"/>
              <w:right w:val="single" w:sz="4" w:color="808080"/>
            </w:tcBorders>
            <w:vAlign w:val="center"/>
          </w:tcPr>
          <w:p>
            <w:pPr>
              <w:jc w:val="left"/>
            </w:pPr>
            <w:r/>
            <w:r>
              <w:rPr>
                <w:b/>
                <w:sz w:val="21"/>
              </w:rPr>
              <w:t>MGT-14</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Section 117(1) read with Section 117(3)(a) of the Companies Act, 2013</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MANDATORY — within 30 days of passing of the Special Resolution</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Filing of certified true copy of every Special Resolution, together with the Explanatory Statement, with the Registrar of Companies. Default attracts penalty under Sec 117(2) of ₹10,000 + ₹100 per day of continuing default for the Company and each officer in default (subject to maximum caps).</w:t>
            </w:r>
          </w:p>
        </w:tc>
      </w:tr>
      <w:tr>
        <w:tc>
          <w:tcPr>
            <w:tcW w:type="dxa" w:w="113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Additional / Specific E-form (as applicable to the underlying transaction)</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Various — e.g., Form INC-24 (change of name), INC-22 (change of regd office), SH-7 (alteration of capital), SH-8 (buyback), MR-1 (MD/WTD appointment beyond Sch V), PAS-3 (allotment), etc.</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As prescribed for the relevant transaction</w:t>
            </w:r>
          </w:p>
        </w:tc>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 addition to MGT-14, file the relevant subject-matter e-form within the prescribed time.</w:t>
            </w:r>
          </w:p>
        </w:tc>
      </w:tr>
      <w:tr>
        <w:tc>
          <w:tcPr>
            <w:tcW w:type="dxa" w:w="1134"/>
            <w:tcBorders>
              <w:top w:val="single" w:sz="4" w:color="808080"/>
              <w:left w:val="single" w:sz="4" w:color="808080"/>
              <w:bottom w:val="single" w:sz="4" w:color="808080"/>
              <w:right w:val="single" w:sz="4" w:color="808080"/>
            </w:tcBorders>
            <w:vAlign w:val="center"/>
          </w:tcPr>
          <w:p>
            <w:pPr>
              <w:jc w:val="left"/>
            </w:pPr>
            <w:r/>
            <w:r>
              <w:rPr>
                <w:b/>
                <w:sz w:val="21"/>
              </w:rPr>
              <w:t>Stock Exchange Intimation</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Regulation 30 + Schedule III + Regulation 44 of SEBI (LODR) Regulations, 2015</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Within 24 hours of conclusion of Meeting; voting outcome within 2 working days</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Listed companies only.</w:t>
            </w:r>
          </w:p>
        </w:tc>
      </w:tr>
    </w:tbl>
    <w:p/>
    <w:p>
      <w:pPr>
        <w:jc w:val="both"/>
      </w:pPr>
      <w:r>
        <w:rPr>
          <w:b w:val="0"/>
          <w:i/>
          <w:sz w:val="18"/>
        </w:rPr>
        <w:t>Failure to file within the prescribed period attracts additional fees under Section 403 of the Companies Act, 2013 and may result in penalties / proceedings under Sections 117 / 450 of the said Act and the Rules made thereunder.</w:t>
      </w:r>
    </w:p>
    <w:p/>
    <w:p>
      <w:pPr>
        <w:spacing w:before="240" w:after="80"/>
        <w:pBdr>
          <w:bottom w:val="single" w:sz="6" w:space="1" w:color="002060"/>
        </w:pBdr>
      </w:pPr>
      <w:r>
        <w:rPr>
          <w:b/>
          <w:color w:val="002060"/>
          <w:sz w:val="25"/>
        </w:rPr>
        <w:t>CERTIFIED TRUE COPY</w:t>
      </w:r>
    </w:p>
    <w:p>
      <w:pPr>
        <w:jc w:val="both"/>
      </w:pPr>
      <w:r>
        <w:rPr>
          <w:b w:val="0"/>
          <w:i w:val="0"/>
        </w:rPr>
        <w:t>Certified to be a true copy of the resolution duly passed and recorded in the Minutes of the Meeting held on the date stated above. The Original Minutes are signed by the Chairperson of the Meeting and form part of the statutory records of the Company maintained under Section 118 of the Companies Act, 2013.</w:t>
      </w:r>
    </w:p>
    <w:p/>
    <w:p/>
    <w:p>
      <w:pPr>
        <w:jc w:val="both"/>
      </w:pPr>
      <w:r>
        <w:rPr>
          <w:b/>
          <w:i w:val="0"/>
        </w:rPr>
        <w:t>For {{COMPANY_NAME}}</w:t>
      </w:r>
    </w:p>
    <w:p/>
    <w:p>
      <w:pPr>
        <w:jc w:val="both"/>
      </w:pPr>
      <w:r>
        <w:rPr>
          <w:b w:val="0"/>
          <w:i w:val="0"/>
        </w:rPr>
        <w:t>_________________________________</w:t>
      </w:r>
    </w:p>
    <w:p>
      <w:pPr>
        <w:jc w:val="both"/>
      </w:pPr>
      <w:r>
        <w:rPr>
          <w:b/>
          <w:i w:val="0"/>
        </w:rPr>
        <w:t>({{CS_NAME}})</w:t>
      </w:r>
    </w:p>
    <w:p>
      <w:pPr>
        <w:jc w:val="both"/>
      </w:pPr>
      <w:r>
        <w:rPr>
          <w:b w:val="0"/>
          <w:i w:val="0"/>
        </w:rPr>
        <w:t>Company Secretary &amp; Compliance Officer</w:t>
      </w:r>
    </w:p>
    <w:p>
      <w:pPr>
        <w:jc w:val="both"/>
      </w:pPr>
      <w:r>
        <w:rPr>
          <w:b w:val="0"/>
          <w:i w:val="0"/>
        </w:rPr>
        <w:t>ICSI Membership No.: A/F-{{CS_MEMBERSHIP_NO}}</w:t>
      </w:r>
    </w:p>
    <w:p/>
    <w:p>
      <w:pPr>
        <w:jc w:val="both"/>
      </w:pPr>
      <w:r>
        <w:rPr>
          <w:b w:val="0"/>
          <w:i w:val="0"/>
        </w:rPr>
        <w:t>Place: {{CERTIFICATION_PLACE}}</w:t>
      </w:r>
    </w:p>
    <w:p>
      <w:pPr>
        <w:jc w:val="both"/>
      </w:pPr>
      <w:r>
        <w:rPr>
          <w:b w:val="0"/>
          <w:i w:val="0"/>
        </w:rPr>
        <w:t>Date: {{CERTIFICATION_DATE}}</w:t>
      </w:r>
    </w:p>
    <w:p/>
    <w:p>
      <w:pPr>
        <w:spacing w:before="240" w:after="80"/>
        <w:pBdr>
          <w:bottom w:val="single" w:sz="6" w:space="1" w:color="002060"/>
        </w:pBdr>
      </w:pPr>
      <w:r>
        <w:rPr>
          <w:b/>
          <w:color w:val="002060"/>
          <w:sz w:val="25"/>
        </w:rPr>
        <w:t>INDICATIVE LIST OF ITEMS REQUIRING A SPECIAL RESOLUTION (NON-EXHAUSTIVE)</w:t>
      </w:r>
    </w:p>
    <w:tbl>
      <w:tblPr>
        <w:tblW w:type="auto" w:w="0"/>
        <w:jc w:val="center"/>
        <w:tblLayout w:type="fixed"/>
        <w:tblLook w:firstColumn="1" w:firstRow="1" w:lastColumn="0" w:lastRow="0" w:noHBand="0" w:noVBand="1" w:val="04A0"/>
      </w:tblPr>
      <w:tblGrid>
        <w:gridCol w:w="3249"/>
        <w:gridCol w:w="3249"/>
        <w:gridCol w:w="3249"/>
      </w:tblGrid>
      <w:tr>
        <w:tc>
          <w:tcPr>
            <w:tcW w:type="dxa" w:w="56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Item</w:t>
            </w:r>
          </w:p>
        </w:tc>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Statutory Provision</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Insertion of entrenchment provisions in the Articles of Association</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Sec 5(4)</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Change of name of the Company</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 13(1) + Sec 4</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Alteration of objects clause of the MoA</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Sec 13(1)</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Shifting of Registered Office from one State to another</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 13(4)</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5</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Alteration of Articles of Association</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Sec 14</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6</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Issue of Sweat Equity Shares</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 54</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7</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Issue of shares with Differential Voting Rights — Private Co.</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Sec 43</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8</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Variation of rights attached to a class of shares</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 48</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9</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Reduction of share capital</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Sec 66</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10</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Buy-back of shares</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 68(2)(b) (where buy-back exceeds 10% of paid-up equity and free reserves)</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11</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Issue of Debentures with conversion option (wholly / partly) into shares</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Sec 71(1)</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12</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Private Placement of Securities — approval of Offer Letter</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 42(2)</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13</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Preferential Issue of Securities</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Sec 62(1)(c)</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14</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Approval of ESOP for employees of Subsidiary / Holding Company</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Rule 12 of Companies (Share Capital and Debentures) Rules, 2014</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15</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Borrowing powers exceeding paid-up capital + free reserves + securities premium</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Sec 180(1)(c)</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16</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Sale, lease or disposal of whole / substantially the whole of the undertaking</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 180(1)(a)</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17</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Inter-corporate loans / investments / guarantees beyond the limits under Sec 186</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Sec 186(3)</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18</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Loan / guarantee to Director / firm in which Director is interested (where permitted)</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 185 (2nd proviso)</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19</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Voluntary Liquidation under IBC, 2016</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Sec 59(3)(a) IBC + Reg 3 of IBBI (Voluntary Liquidation) Regulations, 2017</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20</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Removal of Statutory Auditor before expiry of term</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 140(1) (with prior CG approval)</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21</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Appointment of Auditor for more than 1 term in a casual vacancy</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Sec 139(8)</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22</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Re-appointment of Independent Director for a second term of up to 5 years</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 149(10) (proviso)</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23</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Appointment of MD / WTD / Manager beyond Schedule V limits</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Sec 196 + Sec 197 + Sch V Part II Section II</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24</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Increase / reduction of permissible managerial remuneration beyond 11% of net profits</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 197</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25</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Conversion of Public Company into Private Company</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Sec 14(1)(b)</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26</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Application to CG for compromise / arrangement / scheme of amalgamation</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 230</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27</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Disinvestment in a wholly-owned subsidiary engaged in principal business</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Sec 180(1)(a) (where amounts to disposal of undertaking)</w:t>
            </w:r>
          </w:p>
        </w:tc>
      </w:tr>
      <w:tr>
        <w:tc>
          <w:tcPr>
            <w:tcW w:type="dxa" w:w="56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28</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Approval of Scheme of Reduction of Capital / Merger / Demerger under NCLT</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 66 / Sec 230-232</w:t>
            </w:r>
          </w:p>
        </w:tc>
      </w:tr>
      <w:tr>
        <w:tc>
          <w:tcPr>
            <w:tcW w:type="dxa" w:w="567"/>
            <w:tcBorders>
              <w:top w:val="single" w:sz="4" w:color="808080"/>
              <w:left w:val="single" w:sz="4" w:color="808080"/>
              <w:bottom w:val="single" w:sz="4" w:color="808080"/>
              <w:right w:val="single" w:sz="4" w:color="808080"/>
            </w:tcBorders>
            <w:vAlign w:val="center"/>
          </w:tcPr>
          <w:p>
            <w:pPr>
              <w:jc w:val="left"/>
            </w:pPr>
            <w:r/>
            <w:r>
              <w:rPr>
                <w:b/>
                <w:sz w:val="21"/>
              </w:rPr>
              <w:t>29</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Issue of GDRs / ADRs / FCCBs</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Rule 4 of Companies (Issue of Global Depository Receipts) Rules, 2014</w:t>
            </w:r>
          </w:p>
        </w:tc>
      </w:tr>
    </w:tbl>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