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{{COMPANY_NAME}}</w:t>
      </w:r>
    </w:p>
    <w:p>
      <w:r>
        <w:rPr>
          <w:b w:val="0"/>
          <w:i/>
        </w:rPr>
        <w:t>(A Company incorporated under the Companies Act, {{COMPANIES_ACT_YEAR}})</w:t>
      </w:r>
    </w:p>
    <w:p>
      <w:r>
        <w:rPr>
          <w:b/>
          <w:i w:val="0"/>
          <w:sz w:val="20"/>
        </w:rPr>
        <w:t>Corporate Identification Number (CIN): {{COMPANY_CIN}}</w:t>
      </w:r>
    </w:p>
    <w:p>
      <w:r>
        <w:rPr>
          <w:b w:val="0"/>
          <w:i w:val="0"/>
          <w:sz w:val="20"/>
        </w:rPr>
        <w:t>Registered Office: {{REGD_OFFICE_ADDRESS_LINE_1}}, {{REGD_OFFICE_ADDRESS_LINE_2}}, {{REGD_OFFICE_CITY}} – {{REGD_OFFICE_PIN}}, {{REGD_OFFICE_STATE}}, India</w:t>
      </w:r>
    </w:p>
    <w:p>
      <w:r>
        <w:rPr>
          <w:b w:val="0"/>
          <w:i w:val="0"/>
          <w:sz w:val="20"/>
        </w:rPr>
        <w:t>Corporate Office (if different): {{CORPORATE_OFFICE_ADDRESS}}</w:t>
      </w:r>
    </w:p>
    <w:p>
      <w:r>
        <w:rPr>
          <w:b w:val="0"/>
          <w:i w:val="0"/>
          <w:sz w:val="20"/>
        </w:rPr>
        <w:t>Tel: {{COMPANY_PHONE}}  |  Email: {{COMPANY_EMAIL}}  |  Website: {{COMPANY_WEBSITE}}</w:t>
      </w:r>
    </w:p>
    <w:p>
      <w:r>
        <w:rPr>
          <w:b w:val="0"/>
          <w:i w:val="0"/>
          <w:sz w:val="20"/>
        </w:rPr>
        <w:t>GSTIN: {{COMPANY_GSTIN}}  |  PAN: {{COMPANY_PAN}}  |  TAN: {{COMPANY_TAN}}</w:t>
      </w:r>
    </w:p>
    <w:p/>
    <w:p>
      <w:r>
        <w:rPr>
          <w:b/>
          <w:i w:val="0"/>
        </w:rPr>
        <w:t>Ref. No.: {{SHR_REFERENCE_NO}}/{{FINANCIAL_YEAR}}  |  Date: {{NOTICE_DATE}}  |  Place: {{ISSUE_PLACE}}</w:t>
      </w:r>
    </w:p>
    <w:p/>
    <w:p>
      <w:pPr>
        <w:spacing w:before="200" w:after="160"/>
        <w:jc w:val="center"/>
      </w:pPr>
      <w:r>
        <w:rPr>
          <w:b/>
          <w:color w:val="002060"/>
          <w:sz w:val="30"/>
        </w:rPr>
        <w:t>SHAREHOLDER RESOLUTION SHEET / EXTRACT OF RESOLUTIONS PASSED</w:t>
      </w:r>
    </w:p>
    <w:p>
      <w:pPr>
        <w:spacing w:before="200" w:after="160"/>
        <w:jc w:val="center"/>
      </w:pPr>
      <w:r>
        <w:rPr>
          <w:b/>
          <w:color w:val="002060"/>
          <w:sz w:val="26"/>
        </w:rPr>
        <w:t>(Pursuant to Sections 96, 100, 101, 102, 108, 110, 114 and 118 of the Companies Act, 2013, read with Secretarial Standard SS-2 issued by the ICSI)</w:t>
      </w:r>
    </w:p>
    <w:p>
      <w:pPr>
        <w:spacing w:before="240" w:after="80"/>
        <w:pBdr>
          <w:bottom w:val="single" w:sz="6" w:space="1" w:color="002060"/>
        </w:pBdr>
      </w:pPr>
      <w:r>
        <w:rPr>
          <w:b/>
          <w:color w:val="002060"/>
          <w:sz w:val="25"/>
        </w:rPr>
        <w:t>GENERAL MEETING PARTICULARS</w:t>
      </w:r>
    </w:p>
    <w:tbl>
      <w:tblPr>
        <w:tblW w:type="auto" w:w="0"/>
        <w:jc w:val="center"/>
        <w:tblLayout w:type="fixed"/>
        <w:tblLook w:firstColumn="1" w:firstRow="1" w:lastColumn="0" w:lastRow="0" w:noHBand="0" w:noVBand="1" w:val="04A0"/>
      </w:tblPr>
      <w:tblGrid>
        <w:gridCol w:w="4873"/>
        <w:gridCol w:w="4873"/>
      </w:tblGrid>
      <w:tr>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Name of the Company</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Registered Office</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{{REGD_OFFICE_ADDRESS}}</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Type of Meeting</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Annual General Meeting / Extra-Ordinary General Meeting / Postal Ballot under Sec 110</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Serial No. of Meeting</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{{AGM_OR_EGM_NUMBER_ORDINAL}} for FY {{FINANCIAL_YEAR}}</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Day, Date &amp; Time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{{MEETING_DAY}}, {{MEETING_DATE}} at {{MEETING_TIME}} hrs IST</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Mode of Meeting</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{{MEETING_MODE}} (Physical / VC / OAVM / Hybrid)</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Venue / Deemed Venue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{{MEETING_VENUE}}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Notice Date</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{{NOTICE_DATE}}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Notice Period</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 less than 21 (twenty-one) clear days (Sec 101)</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Cut-off Date for E-Voting</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{{CUT_OFF_DATE}}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E-Voting Period</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{{E_VOTING_START_DT}} (09:00 hrs) to {{E_VOTING_END_DT}} (17:00 hrs)</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E-Voting Platform</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{{E_VOTING_PLATFORM}} (NSDL / CDSL / KFin)</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Chairperson of the Meeting</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{{CHAIRPERSON_NAME}} (DIN: {{CHAIRPERSON_DIN}})</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Scrutinizer</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{{SCRUTINIZER_NAME}}, {{SCRUTINIZER_CREDENTIALS}} (e.g., Practising Company Secretary; ICSI M. No.: ___; COP No.: ___)</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Quorum (Sec 103)</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Public Company: 5/15/30 Members personally present (depending on member count); Private Company: 2 Members personally present</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Quorum Present?</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YES</w:t>
            </w:r>
          </w:p>
        </w:tc>
      </w:tr>
    </w:tbl>
    <w:p/>
    <w:p>
      <w:pPr>
        <w:spacing w:before="240" w:after="80"/>
        <w:pBdr>
          <w:bottom w:val="single" w:sz="6" w:space="1" w:color="002060"/>
        </w:pBdr>
      </w:pPr>
      <w:r>
        <w:rPr>
          <w:b/>
          <w:color w:val="002060"/>
          <w:sz w:val="25"/>
        </w:rPr>
        <w:t>ATTENDANCE</w:t>
      </w:r>
    </w:p>
    <w:tbl>
      <w:tblPr>
        <w:tblW w:type="auto" w:w="0"/>
        <w:jc w:val="center"/>
        <w:tblLayout w:type="fixed"/>
        <w:tblLook w:firstColumn="1" w:firstRow="1" w:lastColumn="0" w:lastRow="0" w:noHBand="0" w:noVBand="1" w:val="04A0"/>
      </w:tblPr>
      <w:tblGrid>
        <w:gridCol w:w="4873"/>
        <w:gridCol w:w="4873"/>
      </w:tblGrid>
      <w:tr>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Number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Total Members on Cut-off Date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{{TOTAL_MEMBERS}}</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Members Present in Person / VC</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{{MEMBERS_PRESENT}}</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Members Represented by Proxy</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{{MEMBERS_BY_PROXY}}</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Members Represented by Corporate Representative (Sec 113)</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{{MEMBERS_BY_CORP_REP}}</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Members who Voted via Remote E-Voting</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{{MEMBERS_E_VOTED}}</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Members who Cast Their Vote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{{TOTAL_VOTERS}}</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Aggregate Paid-up Equity Capital Represented (% of Total)</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{{CAPITAL_REPRESENTED_PERCENT}}</w:t>
            </w:r>
          </w:p>
        </w:tc>
      </w:tr>
    </w:tbl>
    <w:p/>
    <w:p>
      <w:pPr>
        <w:spacing w:before="240" w:after="80"/>
        <w:pBdr>
          <w:bottom w:val="single" w:sz="6" w:space="1" w:color="002060"/>
        </w:pBdr>
      </w:pPr>
      <w:r>
        <w:rPr>
          <w:b/>
          <w:color w:val="002060"/>
          <w:sz w:val="25"/>
        </w:rPr>
        <w:t>RESOLUTIONS PASSED AT THE MEETING</w:t>
      </w:r>
    </w:p>
    <w:p>
      <w:pPr>
        <w:spacing w:before="160" w:after="60"/>
      </w:pPr>
      <w:r>
        <w:rPr>
          <w:b/>
          <w:color w:val="002060"/>
          <w:sz w:val="23"/>
        </w:rPr>
        <w:t>PART A — ORDINARY BUSINESS</w:t>
      </w:r>
    </w:p>
    <w:p>
      <w:pPr>
        <w:jc w:val="both"/>
      </w:pPr>
      <w:r>
        <w:rPr>
          <w:b w:val="0"/>
          <w:i/>
          <w:sz w:val="20"/>
        </w:rPr>
        <w:t>[ITEMS OF ORDINARY BUSINESS ARE THOSE PRESCRIBED UNDER SECTION 102(2) OF THE COMPANIES ACT, 2013, AND DO NOT REQUIRE AN EXPLANATORY STATEMENT.]</w:t>
      </w:r>
    </w:p>
    <w:p/>
    <w:p>
      <w:pPr>
        <w:jc w:val="both"/>
      </w:pPr>
      <w:r>
        <w:rPr>
          <w:b/>
          <w:i w:val="0"/>
        </w:rPr>
        <w:t>Item No. 1 — Adoption of the Audited Financial Statements for the financial year ended {{FY_END_DATE}}, together with the Reports of the Board of Directors and the Statutory Auditor thereon (ORDINARY RESOLUTION).</w:t>
      </w:r>
    </w:p>
    <w:p>
      <w:pPr>
        <w:jc w:val="both"/>
      </w:pPr>
      <w:r>
        <w:rPr>
          <w:b w:val="0"/>
          <w:i w:val="0"/>
        </w:rPr>
        <w:t>“RESOLVED THAT the audited standalone and consolidated financial statements of the Company for the financial year ended {{FY_END_DATE}}, together with the Reports of the Board of Directors and the Statutory Auditor thereon, as circulated to the Members, be and are hereby received, considered and adopted.”</w:t>
      </w:r>
    </w:p>
    <w:p/>
    <w:p>
      <w:pPr>
        <w:jc w:val="both"/>
      </w:pPr>
      <w:r>
        <w:rPr>
          <w:b/>
          <w:i w:val="0"/>
        </w:rPr>
        <w:t>Item No. 2 — Declaration of Final Dividend on Equity Shares for FY {{FINANCIAL_YEAR}} (ORDINARY RESOLUTION).</w:t>
      </w:r>
    </w:p>
    <w:p>
      <w:pPr>
        <w:jc w:val="both"/>
      </w:pPr>
      <w:r>
        <w:rPr>
          <w:b w:val="0"/>
          <w:i w:val="0"/>
        </w:rPr>
        <w:t>“RESOLVED THAT pursuant to the recommendation of the Board of Directors of the Company, a Final Dividend of ₹ {{DIVIDEND_PER_SHARE_INR}} per equity share of the face value of ₹ {{FACE_VALUE_INR}} each, fully paid-up, aggregating to ₹ {{TOTAL_DIVIDEND_INR}}, for the financial year ended {{FY_END_DATE}} be and is hereby declared, to be paid to those Members whose names appear in the Register of Members of the Company / list of beneficial owners furnished by the Depositories as on the Record Date, viz., {{RECORD_DATE}}.”</w:t>
      </w:r>
    </w:p>
    <w:p/>
    <w:p>
      <w:pPr>
        <w:jc w:val="both"/>
      </w:pPr>
      <w:r>
        <w:rPr>
          <w:b/>
          <w:i w:val="0"/>
        </w:rPr>
        <w:t>Item No. 3 — Appointment of Director liable to retire by rotation (Sec 152(6)) — Re-appointment of Shri / Smt. {{RETIRING_DIRECTOR_NAME}} (DIN: {{RETIRING_DIRECTOR_DIN}}) (ORDINARY RESOLUTION).</w:t>
      </w:r>
    </w:p>
    <w:p>
      <w:pPr>
        <w:jc w:val="both"/>
      </w:pPr>
      <w:r>
        <w:rPr>
          <w:b w:val="0"/>
          <w:i w:val="0"/>
        </w:rPr>
        <w:t>“RESOLVED THAT pursuant to the provisions of Section 152(6) of the Companies Act, 2013, Shri / Smt. {{RETIRING_DIRECTOR_NAME}} (DIN: {{RETIRING_DIRECTOR_DIN}}), Director, who retires by rotation at this Meeting and being eligible has offered himself / herself for re-appointment, be and is hereby RE-APPOINTED as a Director of the Company, liable to retire by rotation.”</w:t>
      </w:r>
    </w:p>
    <w:p/>
    <w:p>
      <w:pPr>
        <w:jc w:val="both"/>
      </w:pPr>
      <w:r>
        <w:rPr>
          <w:b/>
          <w:i w:val="0"/>
        </w:rPr>
        <w:t>Item No. 4 — Appointment / Re-appointment of M/s. {{AUDITOR_FIRM_NAME}}, Chartered Accountants (FRN: {{AUDITOR_FRN}}), as Statutory Auditors (ORDINARY RESOLUTION).</w:t>
      </w:r>
    </w:p>
    <w:p>
      <w:pPr>
        <w:jc w:val="both"/>
      </w:pPr>
      <w:r>
        <w:rPr>
          <w:b w:val="0"/>
          <w:i w:val="0"/>
        </w:rPr>
        <w:t>“RESOLVED THAT pursuant to the provisions of Sections 139, 142 and other applicable provisions of the Companies Act, 2013 and the Companies (Audit and Auditors) Rules, 2014, M/s. {{AUDITOR_FIRM_NAME}}, Chartered Accountants (FRN: {{AUDITOR_FRN}}), be and are hereby APPOINTED as the Statutory Auditors of the Company, to hold office for a period of 5 (five) consecutive years, from the conclusion of this Annual General Meeting until the conclusion of the {{AGM_PLUS_5_ORDINAL}} Annual General Meeting of the Company, on such terms and conditions (including remuneration) as may be determined by the Board of Directors in consultation with the Auditors.”</w:t>
      </w:r>
    </w:p>
    <w:p/>
    <w:p>
      <w:pPr>
        <w:spacing w:before="160" w:after="60"/>
      </w:pPr>
      <w:r>
        <w:rPr>
          <w:b/>
          <w:color w:val="002060"/>
          <w:sz w:val="23"/>
        </w:rPr>
        <w:t>PART B — SPECIAL BUSINESS</w:t>
      </w:r>
    </w:p>
    <w:p>
      <w:pPr>
        <w:jc w:val="both"/>
      </w:pPr>
      <w:r>
        <w:rPr>
          <w:b w:val="0"/>
          <w:i/>
          <w:sz w:val="20"/>
        </w:rPr>
        <w:t>[EACH ITEM OF SPECIAL BUSINESS REQUIRES AN EXPLANATORY STATEMENT UNDER SECTION 102. THE RESOLUTIONS BELOW ARE ILLUSTRATIVE — INSERT / CUSTOMISE AS APPLICABLE.]</w:t>
      </w:r>
    </w:p>
    <w:p/>
    <w:p>
      <w:pPr>
        <w:jc w:val="both"/>
      </w:pPr>
      <w:r>
        <w:rPr>
          <w:b/>
          <w:i w:val="0"/>
        </w:rPr>
        <w:t>Item No. 5 — Approval for borrowing in excess of paid-up capital, free reserves and securities premium (SPECIAL RESOLUTION under Section 180(1)(c)).</w:t>
      </w:r>
    </w:p>
    <w:p>
      <w:pPr>
        <w:jc w:val="both"/>
      </w:pPr>
      <w:r>
        <w:rPr>
          <w:b w:val="0"/>
          <w:i w:val="0"/>
        </w:rPr>
        <w:t>“RESOLVED AS A SPECIAL RESOLUTION THAT, in supersession of all earlier resolutions passed in this regard and pursuant to the provisions of Section 180(1)(c) and other applicable provisions, if any, of the Companies Act, 2013 and the Rules made thereunder, the consent of the Members of the Company be and is hereby ACCORDED to the Board of Directors of the Company (the “Board”) to borrow such sum(s) of money, from time to time, from one or more banks, financial institutions, bodies corporate or any other persons, whether in Indian or foreign currency, secured or unsecured, in such manner and on such terms as the Board may consider appropriate, notwithstanding that the money(ies) so borrowed, together with the money(ies) already borrowed by the Company (apart from temporary loans obtained from the Company’s bankers in the ordinary course of business), may exceed the aggregate of the paid-up share capital of the Company, its free reserves and securities premium, PROVIDED THAT the total amount so borrowed by the Board shall not, at any time, exceed ₹ {{BORROWING_LIMIT_INR}} (Rupees {{BORROWING_LIMIT_WORDS}} only).”</w:t>
      </w:r>
    </w:p>
    <w:p/>
    <w:p>
      <w:pPr>
        <w:jc w:val="both"/>
      </w:pPr>
      <w:r>
        <w:rPr>
          <w:b/>
          <w:i w:val="0"/>
        </w:rPr>
        <w:t>Item No. 6 — Approval for creation of charges, mortgages, hypothecation on assets of the Company (SPECIAL RESOLUTION under Section 180(1)(a)).</w:t>
      </w:r>
    </w:p>
    <w:p>
      <w:pPr>
        <w:jc w:val="both"/>
      </w:pPr>
      <w:r>
        <w:rPr>
          <w:b w:val="0"/>
          <w:i w:val="0"/>
        </w:rPr>
        <w:t>“RESOLVED AS A SPECIAL RESOLUTION THAT, pursuant to the provisions of Section 180(1)(a) and other applicable provisions, if any, of the Companies Act, 2013 and the Rules made thereunder, the consent of the Members be and is hereby ACCORDED to the Board to create such charges, mortgages and hypothecations on, sell, lease or otherwise dispose of the whole or substantially the whole of the undertaking(s) of the Company, on such properties as the Board may consider appropriate, for the purpose of securing the borrowings of the Company up to the limits approved in Item No. 5 above, together with interest, default interest, costs, charges and other monies payable, in favour of the lenders / debenture-trustees / secured creditors of the Company.”</w:t>
      </w:r>
    </w:p>
    <w:p/>
    <w:p>
      <w:pPr>
        <w:jc w:val="both"/>
      </w:pPr>
      <w:r>
        <w:rPr>
          <w:b/>
          <w:i w:val="0"/>
        </w:rPr>
        <w:t>Item No. 7 — Approval of Related Party Transactions (ORDINARY RESOLUTION under Section 188).</w:t>
      </w:r>
    </w:p>
    <w:p>
      <w:pPr>
        <w:jc w:val="both"/>
      </w:pPr>
      <w:r>
        <w:rPr>
          <w:b w:val="0"/>
          <w:i w:val="0"/>
        </w:rPr>
        <w:t>“RESOLVED THAT, pursuant to the provisions of Section 188 of the Companies Act, 2013 read with Rule 15 of the Companies (Meetings of Board and its Powers) Rules, 2014 (and, for Listed Companies, Regulation 23 of the SEBI (LODR) Regulations, 2015), the consent of the Members of the Company be and is hereby ACCORDED to the Board to enter into the contracts / arrangements / transactions with the Related Party(ies) set out in the Explanatory Statement annexed to the Notice, for the nature of transactions and aggregate value up to the limits specified therein, for the financial year {{FINANCIAL_YEAR}}, on terms that are at arm’s length and in the ordinary course of business / on the basis of Audit-Committee approval (as applicable).”</w:t>
      </w:r>
    </w:p>
    <w:p/>
    <w:p>
      <w:pPr>
        <w:jc w:val="both"/>
      </w:pPr>
      <w:r>
        <w:rPr>
          <w:b w:val="0"/>
          <w:i/>
          <w:sz w:val="20"/>
        </w:rPr>
        <w:t>[Add other special-business resolutions as applicable — e.g., alteration of objects, issue of bonus / sweat / preferential shares, ESOP plan, MD/WTD appointment, remuneration, conversion of public to private, voluntary liquidation, etc.]</w:t>
      </w:r>
    </w:p>
    <w:p/>
    <w:p>
      <w:pPr>
        <w:spacing w:before="240" w:after="80"/>
        <w:pBdr>
          <w:bottom w:val="single" w:sz="6" w:space="1" w:color="002060"/>
        </w:pBdr>
      </w:pPr>
      <w:r>
        <w:rPr>
          <w:b/>
          <w:color w:val="002060"/>
          <w:sz w:val="25"/>
        </w:rPr>
        <w:t>VOTING RESULT</w:t>
      </w:r>
    </w:p>
    <w:p>
      <w:pPr>
        <w:jc w:val="both"/>
      </w:pPr>
      <w:r>
        <w:rPr>
          <w:b w:val="0"/>
          <w:i w:val="0"/>
        </w:rPr>
        <w:t>The resolution was put to vote in accordance with Section 114 of the Companies Act, 2013, the Articles of Association and Secretarial Standard SS-2. The resolution was required to be passed by special majority (≥75% of votes cast).</w:t>
      </w:r>
    </w:p>
    <w:p/>
    <w:tbl>
      <w:tblPr>
        <w:tblW w:type="auto" w:w="0"/>
        <w:jc w:val="center"/>
        <w:tblLayout w:type="fixed"/>
        <w:tblLook w:firstColumn="1" w:firstRow="1" w:lastColumn="0" w:lastRow="0" w:noHBand="0" w:noVBand="1" w:val="04A0"/>
      </w:tblPr>
      <w:tblGrid>
        <w:gridCol w:w="2436"/>
        <w:gridCol w:w="2436"/>
        <w:gridCol w:w="2436"/>
        <w:gridCol w:w="2436"/>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Members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Shares / Votes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of Total Votes Cast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Votes in Favour (FOR)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{{VOTES_FOR_MEMBERS}}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{{VOTES_FOR_SHARES}}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{{VOTES_FOR_PERCENT}}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Votes Against (AGAINST)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{{VOTES_AGAINST_MEMBERS}}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{{VOTES_AGAINST_SHARES}}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{{VOTES_AGAINST_PERCENT}}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Invalid Votes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{{VOTES_INVALID_MEMBERS}}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{{VOTES_INVALID_SHARES}}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{{VOTES_INVALID_PERCENT}}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VALID VOTES CAST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{{TOTAL_VOTES_MEMBERS}}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{{TOTAL_VOTES_SHARES}}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100.00%</w:t>
            </w:r>
          </w:p>
        </w:tc>
      </w:tr>
    </w:tbl>
    <w:p/>
    <w:p>
      <w:pPr>
        <w:jc w:val="both"/>
      </w:pPr>
      <w:r>
        <w:rPr>
          <w:b w:val="0"/>
          <w:i w:val="0"/>
        </w:rPr>
        <w:t>Based on the above, the Scrutinizer ({{SCRUTINIZER_NAME}}, {{SCRUTINIZER_CREDENTIALS}}, appointed under Section 109 / Rule 20 of the said Rules) has certified that the Resolution(s) as Per Type Stated Above as set out above has been DULY PASSED / NOT PASSED, as the case may be. The Scrutinizer’s Report dated {{SCRUTINIZER_REPORT_DATE}} is attached and shall form part of the Minutes.</w:t>
      </w:r>
    </w:p>
    <w:p/>
    <w:p>
      <w:pPr>
        <w:spacing w:before="240" w:after="80"/>
        <w:pBdr>
          <w:bottom w:val="single" w:sz="6" w:space="1" w:color="002060"/>
        </w:pBdr>
      </w:pPr>
      <w:r>
        <w:rPr>
          <w:b/>
          <w:color w:val="002060"/>
          <w:sz w:val="25"/>
        </w:rPr>
        <w:t>POSTAL BALLOT / E-VOTING RESULTS REFERENCE</w:t>
      </w:r>
    </w:p>
    <w:p>
      <w:pPr>
        <w:jc w:val="both"/>
      </w:pPr>
      <w:r>
        <w:rPr>
          <w:b w:val="0"/>
          <w:i w:val="0"/>
        </w:rPr>
        <w:t>Where any of the above Resolutions has been transacted through Postal Ballot under Section 110 of the Companies Act, 2013 (read with Rule 22 of the Companies (Management and Administration) Rules, 2014), the Postal-Ballot Notice was issued on {{POSTAL_BALLOT_DATE}}, the e-voting period ran from {{PB_E_VOTING_START_DT}} to {{PB_E_VOTING_END_DT}}, and the result was declared by the Chairperson on {{PB_RESULT_DATE}} based on the Scrutinizer’s Report. The Scrutinizer’s Report dated {{SCRUTINIZER_REPORT_DATE}} forms an integral part of the Minutes and is filed in the records of the Company.</w:t>
      </w:r>
    </w:p>
    <w:p/>
    <w:p>
      <w:pPr>
        <w:spacing w:before="240" w:after="80"/>
        <w:pBdr>
          <w:bottom w:val="single" w:sz="6" w:space="1" w:color="002060"/>
        </w:pBdr>
      </w:pPr>
      <w:r>
        <w:rPr>
          <w:b/>
          <w:color w:val="002060"/>
          <w:sz w:val="25"/>
        </w:rPr>
        <w:t>ROC FILING REQUIREMENTS</w:t>
      </w:r>
    </w:p>
    <w:p>
      <w:pPr>
        <w:jc w:val="both"/>
      </w:pPr>
      <w:r>
        <w:rPr>
          <w:b w:val="0"/>
          <w:i w:val="0"/>
        </w:rPr>
        <w:t>The Company shall file the prescribed forms with the Registrar of Companies (RoC) within the timelines set out below:</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Form</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Statutory Provision</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Filing Deadline</w:t>
            </w:r>
          </w:p>
        </w:tc>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MGT-14</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Section 117(1) read with Sec 117(3)(a) / (c) / (g)</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Within 30 days of passing of the resolution</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Mandatory for ALL Special Resolutions; and for specified Board Resolutions under Sec 179(3) (Public Companies).</w:t>
            </w:r>
          </w:p>
        </w:tc>
      </w:tr>
      <w:tr>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MGT-7 / MGT-7A (Annual Return)</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Section 92</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Within 60 days of AGM</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Annual Return; MGT-7A for OPC / Small Companies.</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AOC-4 / AOC-4 XBRL / AOC-4 CFS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Section 137</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Within 30 days of AGM</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Filing of financial statements with the Registrar of Companies.</w:t>
            </w:r>
          </w:p>
        </w:tc>
      </w:tr>
      <w:tr>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Reg 44 Outcome of Voting + Reg 30 Disclosure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SEBI (LODR) Regulations, 2015, Reg 30 + 44</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Within 2 working days of Meeting / e-Voting result</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Listed Companies — Stock Exchange intimation of voting result with the Scrutinizer’s Report.</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Minutes Book Entry</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Section 118 + SS-2</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Minutes must be entered within 30 days of the Meeting and signed by the Chairperson</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Minutes Book maintained at Registered Office (Sec 118(11)).</w:t>
            </w:r>
          </w:p>
        </w:tc>
      </w:tr>
    </w:tbl>
    <w:p/>
    <w:p>
      <w:pPr>
        <w:jc w:val="both"/>
      </w:pPr>
      <w:r>
        <w:rPr>
          <w:b w:val="0"/>
          <w:i/>
          <w:sz w:val="18"/>
        </w:rPr>
        <w:t>Failure to file within the prescribed period attracts additional fees under Section 403 of the Companies Act, 2013 and may result in penalties / proceedings under Sections 117 / 450 of the said Act and the Rules made thereunder.</w:t>
      </w:r>
    </w:p>
    <w:p/>
    <w:p>
      <w:pPr>
        <w:spacing w:before="240" w:after="80"/>
        <w:pBdr>
          <w:bottom w:val="single" w:sz="6" w:space="1" w:color="002060"/>
        </w:pBdr>
      </w:pPr>
      <w:r>
        <w:rPr>
          <w:b/>
          <w:color w:val="002060"/>
          <w:sz w:val="25"/>
        </w:rPr>
        <w:t>CERTIFIED TRUE COPY</w:t>
      </w:r>
    </w:p>
    <w:p>
      <w:pPr>
        <w:jc w:val="both"/>
      </w:pPr>
      <w:r>
        <w:rPr>
          <w:b w:val="0"/>
          <w:i w:val="0"/>
        </w:rPr>
        <w:t>Certified to be a true copy of the resolution duly passed and recorded in the Minutes of the Meeting held on the date stated above. The Original Minutes are signed by the Chairperson of the Meeting and form part of the statutory records of the Company maintained under Section 118 of the Companies Act, 2013.</w:t>
      </w:r>
    </w:p>
    <w:p/>
    <w:p/>
    <w:p>
      <w:pPr>
        <w:jc w:val="both"/>
      </w:pPr>
      <w:r>
        <w:rPr>
          <w:b/>
          <w:i w:val="0"/>
        </w:rPr>
        <w:t>For {{COMPANY_NAME}}</w:t>
      </w:r>
    </w:p>
    <w:p/>
    <w:p>
      <w:pPr>
        <w:jc w:val="both"/>
      </w:pPr>
      <w:r>
        <w:rPr>
          <w:b w:val="0"/>
          <w:i w:val="0"/>
        </w:rPr>
        <w:t>_________________________________</w:t>
      </w:r>
    </w:p>
    <w:p>
      <w:pPr>
        <w:jc w:val="both"/>
      </w:pPr>
      <w:r>
        <w:rPr>
          <w:b/>
          <w:i w:val="0"/>
        </w:rPr>
        <w:t>({{CS_NAME}})</w:t>
      </w:r>
    </w:p>
    <w:p>
      <w:pPr>
        <w:jc w:val="both"/>
      </w:pPr>
      <w:r>
        <w:rPr>
          <w:b w:val="0"/>
          <w:i w:val="0"/>
        </w:rPr>
        <w:t>Company Secretary &amp; Compliance Officer</w:t>
      </w:r>
    </w:p>
    <w:p>
      <w:pPr>
        <w:jc w:val="both"/>
      </w:pPr>
      <w:r>
        <w:rPr>
          <w:b w:val="0"/>
          <w:i w:val="0"/>
        </w:rPr>
        <w:t>ICSI Membership No.: A/F-{{CS_MEMBERSHIP_NO}}</w:t>
      </w:r>
    </w:p>
    <w:p/>
    <w:p>
      <w:pPr>
        <w:jc w:val="both"/>
      </w:pPr>
      <w:r>
        <w:rPr>
          <w:b w:val="0"/>
          <w:i w:val="0"/>
        </w:rPr>
        <w:t>Place: {{CERTIFICATION_PLACE}}</w:t>
      </w:r>
    </w:p>
    <w:p>
      <w:pPr>
        <w:jc w:val="both"/>
      </w:pPr>
      <w:r>
        <w:rPr>
          <w:b w:val="0"/>
          <w:i w:val="0"/>
        </w:rPr>
        <w:t>Date: {{CERTIFICATION_DATE}}</w:t>
      </w:r>
    </w:p>
    <w:p/>
    <w:p>
      <w:pPr>
        <w:spacing w:before="240" w:after="80"/>
        <w:pBdr>
          <w:bottom w:val="single" w:sz="6" w:space="1" w:color="002060"/>
        </w:pBdr>
      </w:pPr>
      <w:r>
        <w:rPr>
          <w:b/>
          <w:color w:val="002060"/>
          <w:sz w:val="25"/>
        </w:rPr>
        <w:t>DRAFTING NOTES (FOR INTERNAL USE — REMOVE BEFORE CIRCULATION)</w:t>
      </w:r>
    </w:p>
    <w:p>
      <w:pPr>
        <w:pStyle w:val="ListBullet"/>
        <w:spacing w:after="40"/>
        <w:ind w:left="567"/>
        <w:jc w:val="both"/>
      </w:pPr>
      <w:r>
        <w:t>Quorum (Sec 103) — Public Co: 5 Members personally present where members ≤1000; 15 where 1000&lt;members≤5000; 30 where members&gt;5000. Private Co: 2 Members personally present.</w:t>
      </w:r>
    </w:p>
    <w:p>
      <w:pPr>
        <w:pStyle w:val="ListBullet"/>
        <w:spacing w:after="40"/>
        <w:ind w:left="567"/>
        <w:jc w:val="both"/>
      </w:pPr>
      <w:r>
        <w:t>Notice period (Sec 101) — 21 clear days; shorter notice permissible only with consent of: (a) AGM — 95% of Members entitled to vote; (b) EGM (with share capital) — Members holding ≥95% of paid-up capital giving voting rights; (c) EGM (no share capital) — Members representing ≥95% of total voting power.</w:t>
      </w:r>
    </w:p>
    <w:p>
      <w:pPr>
        <w:pStyle w:val="ListBullet"/>
        <w:spacing w:after="40"/>
        <w:ind w:left="567"/>
        <w:jc w:val="both"/>
      </w:pPr>
      <w:r>
        <w:t>21 clear days means 21 days excluding the day of service and the day of the Meeting; for service by post / courier, 48 hours additional are deemed to elapse for delivery.</w:t>
      </w:r>
    </w:p>
    <w:p>
      <w:pPr>
        <w:pStyle w:val="ListBullet"/>
        <w:spacing w:after="40"/>
        <w:ind w:left="567"/>
        <w:jc w:val="both"/>
      </w:pPr>
      <w:r>
        <w:t>Explanatory Statement (Sec 102) — Mandatory for every item of Special Business; must disclose nature of concern / interest, financial or otherwise, of every Director, KMP and relatives.</w:t>
      </w:r>
    </w:p>
    <w:p>
      <w:pPr>
        <w:pStyle w:val="ListBullet"/>
        <w:spacing w:after="40"/>
        <w:ind w:left="567"/>
        <w:jc w:val="both"/>
      </w:pPr>
      <w:r>
        <w:t>E-Voting (Sec 108) — Mandatory for: (a) every listed company; (b) every company having ≥1000 Members. Continues even at the Meeting (Insta-poll / Poll).</w:t>
      </w:r>
    </w:p>
    <w:p>
      <w:pPr>
        <w:pStyle w:val="ListBullet"/>
        <w:spacing w:after="40"/>
        <w:ind w:left="567"/>
        <w:jc w:val="both"/>
      </w:pPr>
      <w:r>
        <w:t>Postal Ballot (Sec 110) — Mandatory for specified items in Rule 22(16) — including alteration of objects, change in place of regd. office, issue of shares with DVR, buyback, election of Small Shareholders’ Director, sale of undertaking, giving loans / extending guarantees beyond Sec 186 limits.</w:t>
      </w:r>
    </w:p>
    <w:p>
      <w:pPr>
        <w:pStyle w:val="ListBullet"/>
        <w:spacing w:after="40"/>
        <w:ind w:left="567"/>
        <w:jc w:val="both"/>
      </w:pPr>
      <w:r>
        <w:t>AGM timing (Sec 96) — First AGM within 9 months of close of first FY; subsequent AGM within 6 months of close of FY, gap between two AGMs not more than 15 months.</w:t>
      </w:r>
    </w:p>
    <w:p>
      <w:pPr>
        <w:pStyle w:val="ListBullet"/>
        <w:spacing w:after="40"/>
        <w:ind w:left="567"/>
        <w:jc w:val="both"/>
      </w:pPr>
      <w:r>
        <w:t>Listed Company additional compliances — Regulation 44 of SEBI (LODR), 2015 (e-voting outcome in 2 days); Regulation 30 (material disclosures); Reg 47 (notice to be published in newspapers).</w:t>
      </w:r>
    </w:p>
    <w:p>
      <w:pPr>
        <w:pStyle w:val="ListBullet"/>
        <w:spacing w:after="40"/>
        <w:ind w:left="567"/>
        <w:jc w:val="both"/>
      </w:pPr>
      <w:r>
        <w:t>Chairman’s casting vote (Sec 104) — In case of equality of votes, the Chairman shall have a second / casting vote.</w:t>
      </w:r>
    </w:p>
    <w:p>
      <w:pPr>
        <w:pStyle w:val="ListBullet"/>
        <w:spacing w:after="40"/>
        <w:ind w:left="567"/>
        <w:jc w:val="both"/>
      </w:pPr>
      <w:r>
        <w:t>Minutes (Sec 118 + SS-2) — Within 15 days of conclusion of meeting, entered in the Minutes Book; signed by Chairperson within 30 days.</w:t>
      </w:r>
    </w:p>
    <w:p>
      <w:pPr>
        <w:pStyle w:val="ListBullet"/>
        <w:spacing w:after="40"/>
        <w:ind w:left="567"/>
        <w:jc w:val="both"/>
      </w:pPr>
      <w:r>
        <w:t>Maintenance of Minutes Book at Registered Office; inspection rights of Members (Sec 119).</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