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DRAG-ALONG AGREEMENT</w:t>
      </w:r>
    </w:p>
    <w:p>
      <w:pPr>
        <w:spacing w:before="200" w:after="160"/>
        <w:jc w:val="center"/>
      </w:pPr>
      <w:r>
        <w:rPr>
          <w:b/>
          <w:color w:val="002060"/>
          <w:sz w:val="26"/>
        </w:rPr>
        <w:t>(India — Private Limited Company)</w:t>
      </w:r>
    </w:p>
    <w:p>
      <w:r>
        <w:rPr>
          <w:b w:val="0"/>
          <w:i/>
        </w:rPr>
        <w:t>Executed on this {{EXECUTION_DAY}} day of {{EXECUTION_MONTH}}, {{EXECUTION_YEAR}} at {{EXECUTION_PLACE}}, India.</w:t>
      </w:r>
    </w:p>
    <w:p/>
    <w:p>
      <w:pPr>
        <w:spacing w:before="240" w:after="80"/>
        <w:pBdr>
          <w:bottom w:val="single" w:sz="6" w:space="1" w:color="002060"/>
        </w:pBdr>
      </w:pPr>
      <w:r>
        <w:rPr>
          <w:b/>
          <w:color w:val="002060"/>
          <w:sz w:val="25"/>
        </w:rPr>
        <w:t>DOCUMENT SUMMARY</w:t>
      </w:r>
    </w:p>
    <w:tbl>
      <w:tblPr>
        <w:tblW w:type="auto" w:w="0"/>
        <w:jc w:val="center"/>
        <w:tblLayout w:type="fixed"/>
        <w:tblLook w:firstColumn="1" w:firstRow="1" w:lastColumn="0" w:lastRow="0" w:noHBand="0" w:noVBand="1" w:val="04A0"/>
      </w:tblPr>
      <w:tblGrid>
        <w:gridCol w:w="4873"/>
        <w:gridCol w:w="4873"/>
      </w:tblGrid>
      <w:tr>
        <w:tc>
          <w:tcPr>
            <w:tcW w:type="dxa" w:w="368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6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Value</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Company</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{{COMPANY_NAME}} (CIN: {{COMPANY_CIN}})</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Effective Date</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{{EFFECTIVE_DATE}}</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Dragging Shareholders</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{{DRAGGING_SHAREHOLDERS_DESCRIPTION}} (e.g., Series A Investors)</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Dragged Shareholders</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{{DRAGGED_SHAREHOLDERS_DESCRIPTION}} (e.g., Founders + Others)</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Drag Threshold (% of Investor Securities)</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{{DRAG_THRESHOLD_PERCENT}}%</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Earliest Drag Date</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{{DRAG_EARLIEST_DATE}} (after lock-in / minimum hold)</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Minimum Drag Price Floor</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{{DRAG_PRICE_FLOOR_BASIS}} (Liquidation Pref / FMV / Greater)</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Drag Response Period</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{{DRAG_RESPONSE_DAYS}} Business Days</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Governing Law</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Laws of the Republic of India</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Seat of Arbitration</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{{ARBITRATION_SEAT_CITY}}, India</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Stamp Duty Paid (₹)</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{{STAMP_DUTY_AMOUNT}}</w:t>
            </w:r>
          </w:p>
        </w:tc>
      </w:tr>
    </w:tbl>
    <w:p/>
    <w:p>
      <w:pPr>
        <w:spacing w:before="240" w:after="80"/>
        <w:pBdr>
          <w:bottom w:val="single" w:sz="6" w:space="1" w:color="002060"/>
        </w:pBdr>
      </w:pPr>
      <w:r>
        <w:rPr>
          <w:b/>
          <w:color w:val="002060"/>
          <w:sz w:val="25"/>
        </w:rPr>
        <w:t>PARTIES</w:t>
      </w:r>
    </w:p>
    <w:p>
      <w:pPr>
        <w:jc w:val="both"/>
      </w:pPr>
      <w:r>
        <w:rPr>
          <w:b w:val="0"/>
          <w:i w:val="0"/>
        </w:rPr>
        <w:t>This Drag-Along Agreement (the “Agreement”) is made BY AND AMONGST:</w:t>
      </w:r>
    </w:p>
    <w:p>
      <w:pPr>
        <w:jc w:val="both"/>
      </w:pPr>
      <w:r>
        <w:rPr>
          <w:b w:val="0"/>
          <w:i w:val="0"/>
        </w:rPr>
        <w:t>1.  {{COMPANY_NAME}}, a company incorporated under the Companies Act, 2013, having CIN {{COMPANY_CIN}}, registered office at {{COMPANY_REGISTERED_OFFICE}} (the “Company”);</w:t>
      </w:r>
    </w:p>
    <w:p>
      <w:pPr>
        <w:jc w:val="both"/>
      </w:pPr>
      <w:r>
        <w:rPr>
          <w:b w:val="0"/>
          <w:i w:val="0"/>
        </w:rPr>
        <w:t>2.  {{DRAGGING_SHAREHOLDER_1_NAME}}, {{DRAGGING_SHAREHOLDER_1_DESCRIPTION}}, with address at {{DRAGGING_SHAREHOLDER_1_ADDRESS}} (“Dragging Shareholder 1”);</w:t>
      </w:r>
    </w:p>
    <w:p>
      <w:pPr>
        <w:jc w:val="both"/>
      </w:pPr>
      <w:r>
        <w:rPr>
          <w:b w:val="0"/>
          <w:i w:val="0"/>
        </w:rPr>
        <w:t>3.  {{DRAGGING_SHAREHOLDER_2_NAME}}, {{DRAGGING_SHAREHOLDER_2_DESCRIPTION}}, with address at {{DRAGGING_SHAREHOLDER_2_ADDRESS}} (“Dragging Shareholder 2”);</w:t>
      </w:r>
    </w:p>
    <w:p>
      <w:pPr>
        <w:jc w:val="both"/>
      </w:pPr>
      <w:r>
        <w:rPr>
          <w:b w:val="0"/>
          <w:i/>
          <w:sz w:val="18"/>
        </w:rPr>
        <w:t>[Add additional Dragging Shareholders as required.]</w:t>
      </w:r>
    </w:p>
    <w:p>
      <w:pPr>
        <w:jc w:val="both"/>
      </w:pPr>
      <w:r>
        <w:rPr>
          <w:b w:val="0"/>
          <w:i w:val="0"/>
        </w:rPr>
        <w:t>4.  {{DRAGGED_SHAREHOLDER_1_NAME}}, residing at {{DRAGGED_SHAREHOLDER_1_ADDRESS}}, PAN {{DRAGGED_SHAREHOLDER_1_PAN}} (“Dragged Shareholder 1”);</w:t>
      </w:r>
    </w:p>
    <w:p>
      <w:pPr>
        <w:jc w:val="both"/>
      </w:pPr>
      <w:r>
        <w:rPr>
          <w:b w:val="0"/>
          <w:i w:val="0"/>
        </w:rPr>
        <w:t>5.  {{DRAGGED_SHAREHOLDER_2_NAME}}, residing at {{DRAGGED_SHAREHOLDER_2_ADDRESS}}, PAN {{DRAGGED_SHAREHOLDER_2_PAN}} (“Dragged Shareholder 2”);</w:t>
      </w:r>
    </w:p>
    <w:p>
      <w:pPr>
        <w:jc w:val="both"/>
      </w:pPr>
      <w:r>
        <w:rPr>
          <w:b w:val="0"/>
          <w:i/>
          <w:sz w:val="18"/>
        </w:rPr>
        <w:t>[Add additional Dragged Shareholders as required.]</w:t>
      </w:r>
    </w:p>
    <w:p>
      <w:pPr>
        <w:jc w:val="both"/>
      </w:pPr>
      <w:r>
        <w:rPr>
          <w:b w:val="0"/>
          <w:i w:val="0"/>
        </w:rPr>
        <w:t>Together, the “Parties”; individually a “Party”. The Dragging Shareholders, on the one hand, and the Dragged Shareholders, on the other hand, are referred to as “Group” where the context requires.</w:t>
      </w:r>
    </w:p>
    <w:p>
      <w:pPr>
        <w:spacing w:before="240" w:after="80"/>
        <w:pBdr>
          <w:bottom w:val="single" w:sz="6" w:space="1" w:color="002060"/>
        </w:pBdr>
      </w:pPr>
      <w:r>
        <w:rPr>
          <w:b/>
          <w:color w:val="002060"/>
          <w:sz w:val="25"/>
        </w:rPr>
        <w:t>RECITALS</w:t>
      </w:r>
    </w:p>
    <w:p>
      <w:pPr>
        <w:spacing w:before="40"/>
        <w:ind w:left="454"/>
        <w:jc w:val="both"/>
      </w:pPr>
      <w:r>
        <w:rPr>
          <w:b/>
        </w:rPr>
        <w:t xml:space="preserve">A. </w:t>
      </w:r>
      <w:r>
        <w:t>The Company is engaged in the business of {{BUSINESS_DESCRIPTION}}.</w:t>
      </w:r>
    </w:p>
    <w:p>
      <w:pPr>
        <w:spacing w:before="40"/>
        <w:ind w:left="454"/>
        <w:jc w:val="both"/>
      </w:pPr>
      <w:r>
        <w:rPr>
          <w:b/>
        </w:rPr>
        <w:t xml:space="preserve">B. </w:t>
      </w:r>
      <w:r>
        <w:t>The Parties (or their predecessors-in-title) executed the Share Subscription Agreement dated {{SSA_DATE}} (the “SSA”) and the Investor Rights Agreement dated {{IRA_DATE}} (the “IRA”), under which certain investor protections, transfer restrictions and exit rights have been agreed.</w:t>
      </w:r>
    </w:p>
    <w:p>
      <w:pPr>
        <w:spacing w:before="40"/>
        <w:ind w:left="454"/>
        <w:jc w:val="both"/>
      </w:pPr>
      <w:r>
        <w:rPr>
          <w:b/>
        </w:rPr>
        <w:t xml:space="preserve">C. </w:t>
      </w:r>
      <w:r>
        <w:t>The Parties wish to consolidate the drag-along provisions in this standalone Drag-Along Agreement for clarity and ease of enforcement.</w:t>
      </w:r>
    </w:p>
    <w:p>
      <w:pPr>
        <w:spacing w:before="40"/>
        <w:ind w:left="454"/>
        <w:jc w:val="both"/>
      </w:pPr>
      <w:r>
        <w:rPr>
          <w:b/>
        </w:rPr>
        <w:t xml:space="preserve">D. </w:t>
      </w:r>
      <w:r>
        <w:t>The terms of this Agreement shall be reflected in the Articles of Association of the Company in accordance with Section 58(2) of the Companies Act, 2013.</w:t>
      </w:r>
    </w:p>
    <w:p/>
    <w:p>
      <w:pPr>
        <w:jc w:val="both"/>
      </w:pPr>
      <w:r>
        <w:rPr>
          <w:b/>
          <w:i w:val="0"/>
        </w:rPr>
        <w:t>NOW THEREFORE, the Parties agree as follows:</w:t>
      </w:r>
    </w:p>
    <w:p>
      <w:r>
        <w:br w:type="page"/>
      </w:r>
    </w:p>
    <w:p>
      <w:pPr>
        <w:spacing w:before="240" w:after="80"/>
        <w:pBdr>
          <w:bottom w:val="single" w:sz="6" w:space="1" w:color="002060"/>
        </w:pBdr>
      </w:pPr>
      <w:r>
        <w:rPr>
          <w:b/>
          <w:color w:val="002060"/>
          <w:sz w:val="25"/>
        </w:rPr>
        <w:t>1.  DEFINITIONS AND INTERPRETATION</w:t>
      </w:r>
    </w:p>
    <w:tbl>
      <w:tblPr>
        <w:tblW w:type="auto" w:w="0"/>
        <w:jc w:val="center"/>
        <w:tblLayout w:type="fixed"/>
        <w:tblLook w:firstColumn="1" w:firstRow="1" w:lastColumn="0" w:lastRow="0" w:noHBand="0" w:noVBand="1" w:val="04A0"/>
      </w:tblPr>
      <w:tblGrid>
        <w:gridCol w:w="4873"/>
        <w:gridCol w:w="4873"/>
      </w:tblGrid>
      <w:tr>
        <w:tc>
          <w:tcPr>
            <w:tcW w:type="dxa" w:w="255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Term</w:t>
            </w:r>
          </w:p>
        </w:tc>
        <w:tc>
          <w:tcPr>
            <w:tcW w:type="dxa" w:w="6803"/>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Definition</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“Act”</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the Companies Act, 2013.</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“Articles” / “AoA”</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the Articles of Association of the Company, as amended.</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“Bona Fide Offer”</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a written, binding offer from an arm’s-length third party Drag Purchaser, in respect of all of the Securities of the Company, for cash consideration (or, with the consent of the Dragged Shareholders, listed liquid securities) at a price per Security not less than the Drag Price Floor.</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“Business Day”</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 day other than Saturday, Sunday or a public holiday in {{JURISDICTION_CITY}}.</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“Drag Notice”</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as defined in Clause 3.1.</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“Drag Price Floor”</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the price per Security determined under Clause 4.</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“Drag Purchaser”</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the bona-fide third-party purchaser identified in the Drag Notice.</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“Encumbrance”</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any mortgage, charge, pledge, lien, security interest, option or other encumbrance.</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“Liquidation Preference”</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the amount payable per Security upon a Liquidity Event as set out in the Articles and the IRA.</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“Securities”</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equity shares, preference shares (including CCPS), debentures (including CCDs), warrants and any other security issued by the Company convertible into equity shares.</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“Transfer”</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to sell, assign, transfer, gift, pledge, hypothecate, mortgage, charge or otherwise dispose of, or enter into any agreement to do so.</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“Triggering Drag”</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exercise of the drag-along right by the Dragging Shareholders pursuant to Clause 2.</w:t>
            </w:r>
          </w:p>
        </w:tc>
      </w:tr>
    </w:tbl>
    <w:p/>
    <w:p>
      <w:pPr>
        <w:spacing w:before="240" w:after="80"/>
        <w:pBdr>
          <w:bottom w:val="single" w:sz="6" w:space="1" w:color="002060"/>
        </w:pBdr>
      </w:pPr>
      <w:r>
        <w:rPr>
          <w:b/>
          <w:color w:val="002060"/>
          <w:sz w:val="25"/>
        </w:rPr>
        <w:t>2.  GRANT OF DRAG-ALONG RIGHT</w:t>
      </w:r>
    </w:p>
    <w:p>
      <w:pPr>
        <w:spacing w:before="80"/>
        <w:jc w:val="both"/>
      </w:pPr>
      <w:r>
        <w:rPr>
          <w:b/>
        </w:rPr>
        <w:t xml:space="preserve">2.1 </w:t>
      </w:r>
      <w:r>
        <w:rPr>
          <w:b/>
        </w:rPr>
        <w:t xml:space="preserve">Grant. </w:t>
      </w:r>
      <w:r>
        <w:t>If, on or after the Earliest Drag Date, the Dragging Shareholders (collectively holding at least {{DRAG_THRESHOLD_PERCENT}}% of the Investor Securities, on an as-converted, fully diluted basis) receive a Bona Fide Offer for the purchase of all (and not less than all) of the Securities of the Company, the Dragging Shareholders shall have the right (but not the obligation) to require all the Dragged Shareholders to Transfer all of their Securities to the Drag Purchaser, on the same terms and conditions, in accordance with this Agreement (the “Drag-Along Right”).</w:t>
      </w:r>
    </w:p>
    <w:p>
      <w:pPr>
        <w:spacing w:before="80"/>
        <w:jc w:val="both"/>
      </w:pPr>
      <w:r>
        <w:rPr>
          <w:b/>
        </w:rPr>
        <w:t xml:space="preserve">2.2 </w:t>
      </w:r>
      <w:r>
        <w:rPr>
          <w:b/>
        </w:rPr>
        <w:t xml:space="preserve">Conditions to Exercise. </w:t>
      </w:r>
      <w:r>
        <w:t>The Drag-Along Right shall be exercisable subject to satisfaction of all the following conditions:</w:t>
      </w:r>
    </w:p>
    <w:p>
      <w:pPr>
        <w:spacing w:before="40"/>
        <w:ind w:left="454"/>
        <w:jc w:val="both"/>
      </w:pPr>
      <w:r>
        <w:rPr>
          <w:b/>
        </w:rPr>
        <w:t xml:space="preserve">(a) </w:t>
      </w:r>
      <w:r>
        <w:t>the Bona Fide Offer is in writing and binding (subject only to customary regulatory and competition law approvals);</w:t>
      </w:r>
    </w:p>
    <w:p>
      <w:pPr>
        <w:spacing w:before="40"/>
        <w:ind w:left="454"/>
        <w:jc w:val="both"/>
      </w:pPr>
      <w:r>
        <w:rPr>
          <w:b/>
        </w:rPr>
        <w:t xml:space="preserve">(b) </w:t>
      </w:r>
      <w:r>
        <w:t>the price per Security offered (taking into account proper application of the Waterfall in Clause 5) shall not be less than the Drag Price Floor;</w:t>
      </w:r>
    </w:p>
    <w:p>
      <w:pPr>
        <w:spacing w:before="40"/>
        <w:ind w:left="454"/>
        <w:jc w:val="both"/>
      </w:pPr>
      <w:r>
        <w:rPr>
          <w:b/>
        </w:rPr>
        <w:t xml:space="preserve">(c) </w:t>
      </w:r>
      <w:r>
        <w:t>the consideration shall be in cash, or (with the consent of the Dragged Shareholders) freely tradeable listed securities of the Drag Purchaser or its affiliate;</w:t>
      </w:r>
    </w:p>
    <w:p>
      <w:pPr>
        <w:spacing w:before="40"/>
        <w:ind w:left="454"/>
        <w:jc w:val="both"/>
      </w:pPr>
      <w:r>
        <w:rPr>
          <w:b/>
        </w:rPr>
        <w:t xml:space="preserve">(d) </w:t>
      </w:r>
      <w:r>
        <w:t>the Earliest Drag Date has occurred;</w:t>
      </w:r>
    </w:p>
    <w:p>
      <w:pPr>
        <w:spacing w:before="40"/>
        <w:ind w:left="454"/>
        <w:jc w:val="both"/>
      </w:pPr>
      <w:r>
        <w:rPr>
          <w:b/>
        </w:rPr>
        <w:t xml:space="preserve">(e) </w:t>
      </w:r>
      <w:r>
        <w:t>the Drag Purchaser is not (i) a competitor of the Company in the Business; (ii) an Affiliate of, or designated by, the Dragging Shareholders, save where the Bona Fide Offer is at the fair market value (FMV) certified by a Registered Valuer; or (iii) a Person from a country sharing a land border with India (Press Note 3 of 2020), unless prior government approval has been obtained;</w:t>
      </w:r>
    </w:p>
    <w:p>
      <w:pPr>
        <w:spacing w:before="40"/>
        <w:ind w:left="454"/>
        <w:jc w:val="both"/>
      </w:pPr>
      <w:r>
        <w:rPr>
          <w:b/>
        </w:rPr>
        <w:t xml:space="preserve">(f) </w:t>
      </w:r>
      <w:r>
        <w:t>the transaction structure does not result in any unrelieved tax or FEMA pricing disadvantage to the Dragged Shareholders, save as disclosed in advance.</w:t>
      </w:r>
    </w:p>
    <w:p>
      <w:pPr>
        <w:spacing w:before="240" w:after="80"/>
        <w:pBdr>
          <w:bottom w:val="single" w:sz="6" w:space="1" w:color="002060"/>
        </w:pBdr>
      </w:pPr>
      <w:r>
        <w:rPr>
          <w:b/>
          <w:color w:val="002060"/>
          <w:sz w:val="25"/>
        </w:rPr>
        <w:t>3.  DRAG NOTICE AND PROCEDURE</w:t>
      </w:r>
    </w:p>
    <w:p>
      <w:pPr>
        <w:spacing w:before="80"/>
        <w:jc w:val="both"/>
      </w:pPr>
      <w:r>
        <w:rPr>
          <w:b/>
        </w:rPr>
        <w:t xml:space="preserve">3.1 </w:t>
      </w:r>
      <w:r>
        <w:rPr>
          <w:b/>
        </w:rPr>
        <w:t xml:space="preserve">Drag Notice. </w:t>
      </w:r>
      <w:r>
        <w:t>If the Dragging Shareholders elect to exercise the Drag-Along Right, they shall issue a written notice (the “Drag Notice”) to all the Dragged Shareholders (with a copy to the Company), specifying:</w:t>
      </w:r>
    </w:p>
    <w:p>
      <w:pPr>
        <w:spacing w:before="40"/>
        <w:ind w:left="454"/>
        <w:jc w:val="both"/>
      </w:pPr>
      <w:r>
        <w:rPr>
          <w:b/>
        </w:rPr>
        <w:t xml:space="preserve">(a) </w:t>
      </w:r>
      <w:r>
        <w:t>name, address and material particulars of the Drag Purchaser, including its ultimate beneficial ownership;</w:t>
      </w:r>
    </w:p>
    <w:p>
      <w:pPr>
        <w:spacing w:before="40"/>
        <w:ind w:left="454"/>
        <w:jc w:val="both"/>
      </w:pPr>
      <w:r>
        <w:rPr>
          <w:b/>
        </w:rPr>
        <w:t xml:space="preserve">(b) </w:t>
      </w:r>
      <w:r>
        <w:t>total Securities to be Transferred (which shall be 100%);</w:t>
      </w:r>
    </w:p>
    <w:p>
      <w:pPr>
        <w:spacing w:before="40"/>
        <w:ind w:left="454"/>
        <w:jc w:val="both"/>
      </w:pPr>
      <w:r>
        <w:rPr>
          <w:b/>
        </w:rPr>
        <w:t xml:space="preserve">(c) </w:t>
      </w:r>
      <w:r>
        <w:t>price per Security, the form of consideration, and the calculation of the consideration payable to each Shareholder per the Waterfall in Clause 5;</w:t>
      </w:r>
    </w:p>
    <w:p>
      <w:pPr>
        <w:spacing w:before="40"/>
        <w:ind w:left="454"/>
        <w:jc w:val="both"/>
      </w:pPr>
      <w:r>
        <w:rPr>
          <w:b/>
        </w:rPr>
        <w:t xml:space="preserve">(d) </w:t>
      </w:r>
      <w:r>
        <w:t>all material terms and conditions of the proposed sale;</w:t>
      </w:r>
    </w:p>
    <w:p>
      <w:pPr>
        <w:spacing w:before="40"/>
        <w:ind w:left="454"/>
        <w:jc w:val="both"/>
      </w:pPr>
      <w:r>
        <w:rPr>
          <w:b/>
        </w:rPr>
        <w:t xml:space="preserve">(e) </w:t>
      </w:r>
      <w:r>
        <w:t>proposed closing date (the “Drag Closing Date”), which shall be no earlier than {{DRAG_RESPONSE_DAYS}} Business Days from the Drag Notice;</w:t>
      </w:r>
    </w:p>
    <w:p>
      <w:pPr>
        <w:spacing w:before="40"/>
        <w:ind w:left="454"/>
        <w:jc w:val="both"/>
      </w:pPr>
      <w:r>
        <w:rPr>
          <w:b/>
        </w:rPr>
        <w:t xml:space="preserve">(f) </w:t>
      </w:r>
      <w:r>
        <w:t>names of escrow agents, paying agents and other transaction parties;</w:t>
      </w:r>
    </w:p>
    <w:p>
      <w:pPr>
        <w:spacing w:before="40"/>
        <w:ind w:left="454"/>
        <w:jc w:val="both"/>
      </w:pPr>
      <w:r>
        <w:rPr>
          <w:b/>
        </w:rPr>
        <w:t xml:space="preserve">(g) </w:t>
      </w:r>
      <w:r>
        <w:t>form of share purchase / transfer agreement (in line with this Agreement) to be executed by the Dragged Shareholders.</w:t>
      </w:r>
    </w:p>
    <w:p>
      <w:pPr>
        <w:spacing w:before="80"/>
        <w:jc w:val="both"/>
      </w:pPr>
      <w:r>
        <w:rPr>
          <w:b/>
        </w:rPr>
        <w:t xml:space="preserve">3.2 </w:t>
      </w:r>
      <w:r>
        <w:rPr>
          <w:b/>
        </w:rPr>
        <w:t xml:space="preserve">Binding Obligation. </w:t>
      </w:r>
      <w:r>
        <w:t>Upon receipt of a Drag Notice complying with this Agreement, each Dragged Shareholder shall be irrevocably obliged to:</w:t>
      </w:r>
    </w:p>
    <w:p>
      <w:pPr>
        <w:spacing w:before="40"/>
        <w:ind w:left="454"/>
        <w:jc w:val="both"/>
      </w:pPr>
      <w:r>
        <w:rPr>
          <w:b/>
        </w:rPr>
        <w:t xml:space="preserve">(a) </w:t>
      </w:r>
      <w:r>
        <w:t>Transfer all (and not less than all) of his/her/its Securities to the Drag Purchaser at the Drag Closing Date;</w:t>
      </w:r>
    </w:p>
    <w:p>
      <w:pPr>
        <w:spacing w:before="40"/>
        <w:ind w:left="454"/>
        <w:jc w:val="both"/>
      </w:pPr>
      <w:r>
        <w:rPr>
          <w:b/>
        </w:rPr>
        <w:t xml:space="preserve">(b) </w:t>
      </w:r>
      <w:r>
        <w:t>execute the share purchase / transfer agreement and all ancillary documents in the form circulated with the Drag Notice (or as may be reasonably revised to reflect customary closing mechanics);</w:t>
      </w:r>
    </w:p>
    <w:p>
      <w:pPr>
        <w:spacing w:before="40"/>
        <w:ind w:left="454"/>
        <w:jc w:val="both"/>
      </w:pPr>
      <w:r>
        <w:rPr>
          <w:b/>
        </w:rPr>
        <w:t xml:space="preserve">(c) </w:t>
      </w:r>
      <w:r>
        <w:t>deliver duly stamped share transfer forms (Form SH-4), share certificates / DEMAT delivery instructions, and any other documents reasonably required;</w:t>
      </w:r>
    </w:p>
    <w:p>
      <w:pPr>
        <w:spacing w:before="40"/>
        <w:ind w:left="454"/>
        <w:jc w:val="both"/>
      </w:pPr>
      <w:r>
        <w:rPr>
          <w:b/>
        </w:rPr>
        <w:t xml:space="preserve">(d) </w:t>
      </w:r>
      <w:r>
        <w:t>vote (or procure that his/her/its nominee directors vote) in favour of all resolutions and consents necessary to give effect to the drag, including amendment of the Articles and waiver of any pre-emptive, ROFR or tag-along rights inconsistent with the drag;</w:t>
      </w:r>
    </w:p>
    <w:p>
      <w:pPr>
        <w:spacing w:before="40"/>
        <w:ind w:left="454"/>
        <w:jc w:val="both"/>
      </w:pPr>
      <w:r>
        <w:rPr>
          <w:b/>
        </w:rPr>
        <w:t xml:space="preserve">(e) </w:t>
      </w:r>
      <w:r>
        <w:t>cooperate with the Dragging Shareholders, the Drag Purchaser, the Company and the transaction advisors in obtaining regulatory clearances (CCI, RBI, sectoral regulators) and effecting Closing.</w:t>
      </w:r>
    </w:p>
    <w:p>
      <w:pPr>
        <w:spacing w:before="80"/>
        <w:jc w:val="both"/>
      </w:pPr>
      <w:r>
        <w:rPr>
          <w:b/>
        </w:rPr>
        <w:t xml:space="preserve">3.3 </w:t>
      </w:r>
      <w:r>
        <w:rPr>
          <w:b/>
        </w:rPr>
        <w:t xml:space="preserve">Same Terms. </w:t>
      </w:r>
      <w:r>
        <w:t>All Dragged Shareholders shall receive the same per-security consideration as the Dragging Shareholders for the same class of Securities, subject to (a) the Waterfall in Clause 5; (b) class-specific rights set out in the Articles; and (c) any pro-rata adjustments to reflect different cost bases (which shall be reflected pre-tax).</w:t>
      </w:r>
    </w:p>
    <w:p>
      <w:pPr>
        <w:spacing w:before="80"/>
        <w:jc w:val="both"/>
      </w:pPr>
      <w:r>
        <w:rPr>
          <w:b/>
        </w:rPr>
        <w:t xml:space="preserve">3.4 </w:t>
      </w:r>
      <w:r>
        <w:rPr>
          <w:b/>
        </w:rPr>
        <w:t xml:space="preserve">Limited Warranties from Dragged Shareholders. </w:t>
      </w:r>
      <w:r>
        <w:t>Each Dragged Shareholder shall, in connection with the drag, give only the following warranties to the Drag Purchaser, on a several (not joint) basis: (a) title to his/her/its Securities; (b) absence of Encumbrances on those Securities; (c) capacity and authority to Transfer; and (d) no insolvency. Liability shall be capped at the proceeds actually received by such Dragged Shareholder. Founders may, additionally, be required to give business warranties limited as per the IRA / employment agreement, and capped at their proceeds.</w:t>
      </w:r>
    </w:p>
    <w:p>
      <w:pPr>
        <w:spacing w:before="80"/>
        <w:jc w:val="both"/>
      </w:pPr>
      <w:r>
        <w:rPr>
          <w:b/>
        </w:rPr>
        <w:t xml:space="preserve">3.5 </w:t>
      </w:r>
      <w:r>
        <w:rPr>
          <w:b/>
        </w:rPr>
        <w:t xml:space="preserve">Power of Attorney. </w:t>
      </w:r>
      <w:r>
        <w:t>Each Dragged Shareholder hereby irrevocably appoints the Dragging Shareholder lead (acting through its authorised signatory) as his/her/its attorney-in-fact, with full power to execute the share purchase / transfer agreement, share transfer forms, board / shareholder resolutions, regulatory filings and any other documents necessary to give effect to the drag, in the name of and on behalf of such Dragged Shareholder. This Power of Attorney is coupled with interest and is irrevocable, registrable as a deed under the Indian Stamp Act / applicable State Stamp Act.</w:t>
      </w:r>
    </w:p>
    <w:p>
      <w:pPr>
        <w:spacing w:before="240" w:after="80"/>
        <w:pBdr>
          <w:bottom w:val="single" w:sz="6" w:space="1" w:color="002060"/>
        </w:pBdr>
      </w:pPr>
      <w:r>
        <w:rPr>
          <w:b/>
          <w:color w:val="002060"/>
          <w:sz w:val="25"/>
        </w:rPr>
        <w:t>4.  DRAG PRICE FLOOR</w:t>
      </w:r>
    </w:p>
    <w:p>
      <w:pPr>
        <w:spacing w:before="80"/>
        <w:jc w:val="both"/>
      </w:pPr>
      <w:r>
        <w:rPr>
          <w:b/>
        </w:rPr>
        <w:t xml:space="preserve">4.1 </w:t>
      </w:r>
      <w:r>
        <w:rPr>
          <w:b/>
        </w:rPr>
        <w:t xml:space="preserve">Floor. </w:t>
      </w:r>
      <w:r>
        <w:t>The “Drag Price Floor” shall be the higher of:</w:t>
      </w:r>
    </w:p>
    <w:p>
      <w:pPr>
        <w:spacing w:before="40"/>
        <w:ind w:left="454"/>
        <w:jc w:val="both"/>
      </w:pPr>
      <w:r>
        <w:rPr>
          <w:b/>
        </w:rPr>
        <w:t xml:space="preserve">(a) </w:t>
      </w:r>
      <w:r>
        <w:t>the price per Security calculated on the basis of the Liquidation Preference under the Articles, applied to the entire Subject Transaction value at the offered terms;</w:t>
      </w:r>
    </w:p>
    <w:p>
      <w:pPr>
        <w:spacing w:before="40"/>
        <w:ind w:left="454"/>
        <w:jc w:val="both"/>
      </w:pPr>
      <w:r>
        <w:rPr>
          <w:b/>
        </w:rPr>
        <w:t xml:space="preserve">(b) </w:t>
      </w:r>
      <w:r>
        <w:t>the Fair Market Value per Security, as determined by a Registered Valuer under Section 247 of the Act / by a Chartered Accountant or Merchant Banker under the FEMA NDI Rules, 2019 (DCF method) where non-resident parties are involved;</w:t>
      </w:r>
    </w:p>
    <w:p>
      <w:pPr>
        <w:spacing w:before="40"/>
        <w:ind w:left="454"/>
        <w:jc w:val="both"/>
      </w:pPr>
      <w:r>
        <w:rPr>
          <w:b/>
        </w:rPr>
        <w:t xml:space="preserve">(c) </w:t>
      </w:r>
      <w:r>
        <w:t>the price per Security required to deliver a minimum {{MIN_IRR_PERCENT}}% IRR to the Dragging Shareholders on their original investment cost (if applicable to the round); and</w:t>
      </w:r>
    </w:p>
    <w:p>
      <w:pPr>
        <w:spacing w:before="40"/>
        <w:ind w:left="454"/>
        <w:jc w:val="both"/>
      </w:pPr>
      <w:r>
        <w:rPr>
          <w:b/>
        </w:rPr>
        <w:t xml:space="preserve">(d) </w:t>
      </w:r>
      <w:r>
        <w:t>such other floor as may be set out in the IRA.</w:t>
      </w:r>
    </w:p>
    <w:p>
      <w:pPr>
        <w:spacing w:before="80"/>
        <w:jc w:val="both"/>
      </w:pPr>
      <w:r>
        <w:rPr>
          <w:b/>
        </w:rPr>
        <w:t xml:space="preserve">4.2 </w:t>
      </w:r>
      <w:r>
        <w:rPr>
          <w:b/>
        </w:rPr>
        <w:t xml:space="preserve">Independent Valuation. </w:t>
      </w:r>
      <w:r>
        <w:t>Where the Drag Price is contested as below the Drag Price Floor, the matter shall be referred to a Registered Valuer / Chartered Accountant of the Big-4 jointly appointed by the Dragging Shareholders and the Dragged Shareholders, whose determination shall be final and binding.</w:t>
      </w:r>
    </w:p>
    <w:p>
      <w:pPr>
        <w:spacing w:before="240" w:after="80"/>
        <w:pBdr>
          <w:bottom w:val="single" w:sz="6" w:space="1" w:color="002060"/>
        </w:pBdr>
      </w:pPr>
      <w:r>
        <w:rPr>
          <w:b/>
          <w:color w:val="002060"/>
          <w:sz w:val="25"/>
        </w:rPr>
        <w:t>5.  DRAG-ALONG WATERFALL</w:t>
      </w:r>
    </w:p>
    <w:p>
      <w:pPr>
        <w:spacing w:before="80"/>
        <w:jc w:val="both"/>
      </w:pPr>
      <w:r>
        <w:rPr>
          <w:b/>
        </w:rPr>
        <w:t xml:space="preserve">5.1 </w:t>
      </w:r>
      <w:r>
        <w:rPr>
          <w:b/>
        </w:rPr>
        <w:t xml:space="preserve">Distribution. </w:t>
      </w:r>
      <w:r>
        <w:t>The aggregate consideration paid by the Drag Purchaser shall be distributed amongst the Shareholders in the following order of priority, after payment of customary transaction expenses:</w:t>
      </w:r>
    </w:p>
    <w:p>
      <w:pPr>
        <w:spacing w:before="40"/>
        <w:ind w:left="454"/>
        <w:jc w:val="both"/>
      </w:pPr>
      <w:r>
        <w:rPr>
          <w:b/>
        </w:rPr>
        <w:t xml:space="preserve">(a) </w:t>
      </w:r>
      <w:r>
        <w:t>First, all transaction expenses and statutory dues (including stamp duty, capital gains TDS and CCI fees) shall be discharged from transaction proceeds;</w:t>
      </w:r>
    </w:p>
    <w:p>
      <w:pPr>
        <w:spacing w:before="40"/>
        <w:ind w:left="454"/>
        <w:jc w:val="both"/>
      </w:pPr>
      <w:r>
        <w:rPr>
          <w:b/>
        </w:rPr>
        <w:t xml:space="preserve">(b) </w:t>
      </w:r>
      <w:r>
        <w:t>Second, holders of preference securities (CCPS) shall receive the Liquidation Preference (1x or higher multiple, non-participating or participating, as set out in the Articles);</w:t>
      </w:r>
    </w:p>
    <w:p>
      <w:pPr>
        <w:spacing w:before="40"/>
        <w:ind w:left="454"/>
        <w:jc w:val="both"/>
      </w:pPr>
      <w:r>
        <w:rPr>
          <w:b/>
        </w:rPr>
        <w:t xml:space="preserve">(c) </w:t>
      </w:r>
      <w:r>
        <w:t>Third, holders of debentures (CCDs) shall receive their conversion or repayment amount in accordance with the Articles;</w:t>
      </w:r>
    </w:p>
    <w:p>
      <w:pPr>
        <w:spacing w:before="40"/>
        <w:ind w:left="454"/>
        <w:jc w:val="both"/>
      </w:pPr>
      <w:r>
        <w:rPr>
          <w:b/>
        </w:rPr>
        <w:t xml:space="preserve">(d) </w:t>
      </w:r>
      <w:r>
        <w:t>Fourth, the balance shall be distributed amongst Equity Shareholders (and, in the case of participating preference, the preference holders on an as-converted basis) pro-rata to their Equity Shares (on a fully diluted basis).</w:t>
      </w:r>
    </w:p>
    <w:p>
      <w:pPr>
        <w:spacing w:before="80"/>
        <w:jc w:val="both"/>
      </w:pPr>
      <w:r>
        <w:rPr>
          <w:b/>
        </w:rPr>
        <w:t xml:space="preserve">5.2 </w:t>
      </w:r>
      <w:r>
        <w:rPr>
          <w:b/>
        </w:rPr>
        <w:t xml:space="preserve">ESOP Pool. </w:t>
      </w:r>
      <w:r>
        <w:t>Any portion of the consideration attributable to vested ESOP options shall be paid out to ESOP holders in accordance with the ESOP Plan, net of applicable TDS; unvested options shall lapse unless accelerated by the Board / Administrator.</w:t>
      </w:r>
    </w:p>
    <w:p>
      <w:pPr>
        <w:spacing w:before="80"/>
        <w:jc w:val="both"/>
      </w:pPr>
      <w:r>
        <w:rPr>
          <w:b/>
        </w:rPr>
        <w:t xml:space="preserve">5.3 </w:t>
      </w:r>
      <w:r>
        <w:rPr>
          <w:b/>
        </w:rPr>
        <w:t xml:space="preserve">Escrow. </w:t>
      </w:r>
      <w:r>
        <w:t>A portion of the consideration (typically 10–15%) may be deposited in an escrow account to secure customary post-closing warranty / indemnity claims, in accordance with the share purchase agreement.</w:t>
      </w:r>
    </w:p>
    <w:p>
      <w:pPr>
        <w:spacing w:before="240" w:after="80"/>
        <w:pBdr>
          <w:bottom w:val="single" w:sz="6" w:space="1" w:color="002060"/>
        </w:pBdr>
      </w:pPr>
      <w:r>
        <w:rPr>
          <w:b/>
          <w:color w:val="002060"/>
          <w:sz w:val="25"/>
        </w:rPr>
        <w:t>6.  REGULATORY CLEARANCES AND COOPERATION</w:t>
      </w:r>
    </w:p>
    <w:p>
      <w:pPr>
        <w:spacing w:before="80"/>
        <w:jc w:val="both"/>
      </w:pPr>
      <w:r>
        <w:rPr>
          <w:b/>
        </w:rPr>
        <w:t xml:space="preserve">6.1 </w:t>
      </w:r>
      <w:r>
        <w:rPr>
          <w:b/>
        </w:rPr>
        <w:t xml:space="preserve">CCI. </w:t>
      </w:r>
      <w:r>
        <w:t>Where the proposed Transfer is a “combination” within the meaning of Section 5 of the Competition Act, 2002, the Parties shall cooperate in obtaining approval from the Competition Commission of India.</w:t>
      </w:r>
    </w:p>
    <w:p>
      <w:pPr>
        <w:spacing w:before="80"/>
        <w:jc w:val="both"/>
      </w:pPr>
      <w:r>
        <w:rPr>
          <w:b/>
        </w:rPr>
        <w:t xml:space="preserve">6.2 </w:t>
      </w:r>
      <w:r>
        <w:rPr>
          <w:b/>
        </w:rPr>
        <w:t xml:space="preserve">RBI / FEMA. </w:t>
      </w:r>
      <w:r>
        <w:t>For cross-border drag-along Transfers, the Parties shall ensure compliance with the FEMA NDI Rules, 2019: pricing floor, Form FC-TRS via FIRMS portal within 60 days, and Press Note 3 (2020) approval where applicable.</w:t>
      </w:r>
    </w:p>
    <w:p>
      <w:pPr>
        <w:spacing w:before="80"/>
        <w:jc w:val="both"/>
      </w:pPr>
      <w:r>
        <w:rPr>
          <w:b/>
        </w:rPr>
        <w:t xml:space="preserve">6.3 </w:t>
      </w:r>
      <w:r>
        <w:rPr>
          <w:b/>
        </w:rPr>
        <w:t xml:space="preserve">Sectoral. </w:t>
      </w:r>
      <w:r>
        <w:t>Any sector-specific clearances (e.g., from RBI for NBFCs, IRDAI for insurance, TRAI / DoT for telecom, MoIB for media, MoCA for civil aviation, BIS / quality certifications for products) shall be procured by the Parties as required.</w:t>
      </w:r>
    </w:p>
    <w:p>
      <w:pPr>
        <w:spacing w:before="80"/>
        <w:jc w:val="both"/>
      </w:pPr>
      <w:r>
        <w:rPr>
          <w:b/>
        </w:rPr>
        <w:t xml:space="preserve">6.4 </w:t>
      </w:r>
      <w:r>
        <w:rPr>
          <w:b/>
        </w:rPr>
        <w:t xml:space="preserve">Tax. </w:t>
      </w:r>
      <w:r>
        <w:t>Tax matters, including withholding under Sections 195 / 194-IA / equalisation levy (if applicable) and capital gains computation, shall be handled by the Drag Purchaser / Parties as agreed in the share purchase agreement.</w:t>
      </w:r>
    </w:p>
    <w:p>
      <w:pPr>
        <w:spacing w:before="240" w:after="80"/>
        <w:pBdr>
          <w:bottom w:val="single" w:sz="6" w:space="1" w:color="002060"/>
        </w:pBdr>
      </w:pPr>
      <w:r>
        <w:rPr>
          <w:b/>
          <w:color w:val="002060"/>
          <w:sz w:val="25"/>
        </w:rPr>
        <w:t>7.  INTERPLAY WITH OTHER TRANSFER RESTRICTIONS</w:t>
      </w:r>
    </w:p>
    <w:p>
      <w:pPr>
        <w:spacing w:before="80"/>
        <w:jc w:val="both"/>
      </w:pPr>
      <w:r>
        <w:rPr>
          <w:b/>
        </w:rPr>
        <w:t xml:space="preserve">7.1 </w:t>
      </w:r>
      <w:r>
        <w:rPr>
          <w:b/>
        </w:rPr>
        <w:t xml:space="preserve">Override. </w:t>
      </w:r>
      <w:r>
        <w:t>Notwithstanding any ROFR, ROFO, Tag-Along, pre-emptive right, lock-in, vesting restriction or other transfer restriction in the Articles, the IRA or any other Transaction Document, the Drag-Along Right under this Agreement shall override and the relevant Dragged Shareholders shall waive such restrictions to the extent required to give effect to the drag.</w:t>
      </w:r>
    </w:p>
    <w:p>
      <w:pPr>
        <w:spacing w:before="80"/>
        <w:jc w:val="both"/>
      </w:pPr>
      <w:r>
        <w:rPr>
          <w:b/>
        </w:rPr>
        <w:t xml:space="preserve">7.2 </w:t>
      </w:r>
      <w:r>
        <w:rPr>
          <w:b/>
        </w:rPr>
        <w:t xml:space="preserve">Founder Lock-In. </w:t>
      </w:r>
      <w:r>
        <w:t>Any Founder lock-in / reverse-vesting restriction shall stand accelerated upon issuance of a valid Drag Notice; all unvested Founder Securities shall be deemed vested as of the Drag Closing Date.</w:t>
      </w:r>
    </w:p>
    <w:p>
      <w:pPr>
        <w:spacing w:before="240" w:after="80"/>
        <w:pBdr>
          <w:bottom w:val="single" w:sz="6" w:space="1" w:color="002060"/>
        </w:pBdr>
      </w:pPr>
      <w:r>
        <w:rPr>
          <w:b/>
          <w:color w:val="002060"/>
          <w:sz w:val="25"/>
        </w:rPr>
        <w:t>8.  REMEDIES FOR DEFAULT</w:t>
      </w:r>
    </w:p>
    <w:p>
      <w:pPr>
        <w:spacing w:before="80"/>
        <w:jc w:val="both"/>
      </w:pPr>
      <w:r>
        <w:rPr>
          <w:b/>
        </w:rPr>
        <w:t xml:space="preserve">8.1 </w:t>
      </w:r>
      <w:r>
        <w:rPr>
          <w:b/>
        </w:rPr>
        <w:t xml:space="preserve">Specific Performance. </w:t>
      </w:r>
      <w:r>
        <w:t>The Parties acknowledge that monetary damages would be an inadequate remedy for a breach of this Agreement. The Dragging Shareholders shall be entitled to specific performance under Sections 10–14 of the Specific Relief Act, 1963, and injunctive relief in respect of any breach.</w:t>
      </w:r>
    </w:p>
    <w:p>
      <w:pPr>
        <w:spacing w:before="80"/>
        <w:jc w:val="both"/>
      </w:pPr>
      <w:r>
        <w:rPr>
          <w:b/>
        </w:rPr>
        <w:t xml:space="preserve">8.2 </w:t>
      </w:r>
      <w:r>
        <w:rPr>
          <w:b/>
        </w:rPr>
        <w:t xml:space="preserve">Power-of-Attorney Execution. </w:t>
      </w:r>
      <w:r>
        <w:t>Without limiting the generality of the foregoing, the Dragging Shareholders may, pursuant to the irrevocable Power of Attorney in Clause 3.5, execute all documents and complete the Transfer on behalf of a defaulting Dragged Shareholder, and the Company shall update its Register of Members and statutory records accordingly.</w:t>
      </w:r>
    </w:p>
    <w:p>
      <w:pPr>
        <w:spacing w:before="80"/>
        <w:jc w:val="both"/>
      </w:pPr>
      <w:r>
        <w:rPr>
          <w:b/>
        </w:rPr>
        <w:t xml:space="preserve">8.3 </w:t>
      </w:r>
      <w:r>
        <w:rPr>
          <w:b/>
        </w:rPr>
        <w:t xml:space="preserve">Indemnity. </w:t>
      </w:r>
      <w:r>
        <w:t>Each defaulting Dragged Shareholder shall indemnify the Dragging Shareholders and the Drag Purchaser against all losses arising out of the default.</w:t>
      </w:r>
    </w:p>
    <w:p>
      <w:pPr>
        <w:spacing w:before="240" w:after="80"/>
        <w:pBdr>
          <w:bottom w:val="single" w:sz="6" w:space="1" w:color="002060"/>
        </w:pBdr>
      </w:pPr>
      <w:r>
        <w:rPr>
          <w:b/>
          <w:color w:val="002060"/>
          <w:sz w:val="25"/>
        </w:rPr>
        <w:t>9.  REPRESENTATIONS AND WARRANTIES</w:t>
      </w:r>
    </w:p>
    <w:p>
      <w:pPr>
        <w:spacing w:before="80"/>
        <w:jc w:val="both"/>
      </w:pPr>
      <w:r>
        <w:rPr>
          <w:b/>
        </w:rPr>
        <w:t xml:space="preserve">9.1 </w:t>
      </w:r>
      <w:r>
        <w:rPr>
          <w:b/>
        </w:rPr>
        <w:t xml:space="preserve">Mutual. </w:t>
      </w:r>
      <w:r>
        <w:t>Each Party represents and warrants that (a) it has the legal capacity and authority to execute and perform this Agreement; (b) this Agreement is binding and enforceable; (c) execution does not breach any other agreement to which it is a party; and (d) no order or proceeding restrains it.</w:t>
      </w:r>
    </w:p>
    <w:p>
      <w:pPr>
        <w:spacing w:before="240" w:after="80"/>
        <w:pBdr>
          <w:bottom w:val="single" w:sz="6" w:space="1" w:color="002060"/>
        </w:pBdr>
      </w:pPr>
      <w:r>
        <w:rPr>
          <w:b/>
          <w:color w:val="002060"/>
          <w:sz w:val="25"/>
        </w:rPr>
        <w:t>10.  TERM AND TERMINATION</w:t>
      </w:r>
    </w:p>
    <w:p>
      <w:pPr>
        <w:spacing w:before="80"/>
        <w:jc w:val="both"/>
      </w:pPr>
      <w:r>
        <w:rPr>
          <w:b/>
        </w:rPr>
        <w:t xml:space="preserve">10.1 </w:t>
      </w:r>
      <w:r>
        <w:rPr>
          <w:b/>
        </w:rPr>
        <w:t xml:space="preserve">Term. </w:t>
      </w:r>
      <w:r>
        <w:t>This Agreement shall come into force on the Effective Date and shall remain in force until (a) a Qualified IPO of the Company; (b) only Dragging Shareholders or only Dragged Shareholders remain in the shareholding; or (c) unanimous written termination by the Parties.</w:t>
      </w:r>
    </w:p>
    <w:p>
      <w:pPr>
        <w:spacing w:before="80"/>
        <w:jc w:val="both"/>
      </w:pPr>
      <w:r>
        <w:rPr>
          <w:b/>
        </w:rPr>
        <w:t xml:space="preserve">10.2 </w:t>
      </w:r>
      <w:r>
        <w:rPr>
          <w:b/>
        </w:rPr>
        <w:t xml:space="preserve">Survival. </w:t>
      </w:r>
      <w:r>
        <w:t>Provisions intended to survive (Clauses 1, 8, 9, 11, 12, 13) shall survive termination.</w:t>
      </w:r>
    </w:p>
    <w:p>
      <w:pPr>
        <w:spacing w:before="240" w:after="80"/>
        <w:pBdr>
          <w:bottom w:val="single" w:sz="6" w:space="1" w:color="002060"/>
        </w:pBdr>
      </w:pPr>
      <w:r>
        <w:rPr>
          <w:b/>
          <w:color w:val="002060"/>
          <w:sz w:val="25"/>
        </w:rPr>
        <w:t>11.  CONFIDENTIALITY</w:t>
      </w:r>
    </w:p>
    <w:p>
      <w:pPr>
        <w:spacing w:before="80"/>
        <w:jc w:val="both"/>
      </w:pPr>
      <w:r>
        <w:rPr>
          <w:b/>
        </w:rPr>
        <w:t xml:space="preserve">11.1 </w:t>
      </w:r>
      <w:r>
        <w:rPr>
          <w:b/>
        </w:rPr>
        <w:t xml:space="preserve">Obligation. </w:t>
      </w:r>
      <w:r>
        <w:t>Each Party shall hold the existence and terms of this Agreement and any Drag Notice in strict confidence, save (a) to advisors under confidentiality; (b) as required by law / regulator; or (c) to LPs / funders of the Investor Shareholders.</w:t>
      </w:r>
    </w:p>
    <w:p>
      <w:pPr>
        <w:spacing w:before="240" w:after="80"/>
        <w:pBdr>
          <w:bottom w:val="single" w:sz="6" w:space="1" w:color="002060"/>
        </w:pBdr>
      </w:pPr>
      <w:r>
        <w:rPr>
          <w:b/>
          <w:color w:val="002060"/>
          <w:sz w:val="25"/>
        </w:rPr>
        <w:t>12.  GOVERNING LAW AND DISPUTE RESOLUTION</w:t>
      </w:r>
    </w:p>
    <w:p>
      <w:pPr>
        <w:spacing w:before="80"/>
        <w:jc w:val="both"/>
      </w:pPr>
      <w:r>
        <w:rPr>
          <w:b/>
        </w:rPr>
        <w:t xml:space="preserve">12.1 </w:t>
      </w:r>
      <w:r>
        <w:rPr>
          <w:b/>
        </w:rPr>
        <w:t xml:space="preserve">Governing Law. </w:t>
      </w:r>
      <w:r>
        <w:t>Laws of the Republic of India.</w:t>
      </w:r>
    </w:p>
    <w:p>
      <w:pPr>
        <w:spacing w:before="80"/>
        <w:jc w:val="both"/>
      </w:pPr>
      <w:r>
        <w:rPr>
          <w:b/>
        </w:rPr>
        <w:t xml:space="preserve">12.2 </w:t>
      </w:r>
      <w:r>
        <w:rPr>
          <w:b/>
        </w:rPr>
        <w:t xml:space="preserve">Arbitration. </w:t>
      </w:r>
      <w:r>
        <w:t>Any Dispute, if not resolved by amicable negotiation within {{NEGOTIATION_DAYS}} days, shall be referred to arbitration under the Arbitration and Conciliation Act, 1996, by {{ARBITRATOR_NUMBER}} arbitrator(s) under the {{ARBITRATION_INSTITUTION_RULES}}. Seat: {{ARBITRATION_SEAT_CITY}}, India. Language: English.</w:t>
      </w:r>
    </w:p>
    <w:p>
      <w:pPr>
        <w:spacing w:before="80"/>
        <w:jc w:val="both"/>
      </w:pPr>
      <w:r>
        <w:rPr>
          <w:b/>
        </w:rPr>
        <w:t xml:space="preserve">12.3 </w:t>
      </w:r>
      <w:r>
        <w:rPr>
          <w:b/>
        </w:rPr>
        <w:t xml:space="preserve">Jurisdiction. </w:t>
      </w:r>
      <w:r>
        <w:t>Subject to Clause 12.2, courts at {{JURISDICTION_CITY}} shall have exclusive jurisdiction.</w:t>
      </w:r>
    </w:p>
    <w:p>
      <w:pPr>
        <w:spacing w:before="240" w:after="80"/>
        <w:pBdr>
          <w:bottom w:val="single" w:sz="6" w:space="1" w:color="002060"/>
        </w:pBdr>
      </w:pPr>
      <w:r>
        <w:rPr>
          <w:b/>
          <w:color w:val="002060"/>
          <w:sz w:val="25"/>
        </w:rPr>
        <w:t>13.  MISCELLANEOUS</w:t>
      </w:r>
    </w:p>
    <w:p>
      <w:pPr>
        <w:spacing w:before="80"/>
        <w:jc w:val="both"/>
      </w:pPr>
      <w:r>
        <w:rPr>
          <w:b/>
        </w:rPr>
        <w:t xml:space="preserve">13.1 </w:t>
      </w:r>
      <w:r>
        <w:rPr>
          <w:b/>
        </w:rPr>
        <w:t xml:space="preserve">Entire Agreement. </w:t>
      </w:r>
      <w:r>
        <w:t>This Agreement, read with the Articles, SSA and IRA, constitutes the entire understanding on the drag-along right.</w:t>
      </w:r>
    </w:p>
    <w:p>
      <w:pPr>
        <w:spacing w:before="80"/>
        <w:jc w:val="both"/>
      </w:pPr>
      <w:r>
        <w:rPr>
          <w:b/>
        </w:rPr>
        <w:t xml:space="preserve">13.2 </w:t>
      </w:r>
      <w:r>
        <w:rPr>
          <w:b/>
        </w:rPr>
        <w:t xml:space="preserve">Amendment. </w:t>
      </w:r>
      <w:r>
        <w:t>In writing signed by all Parties.</w:t>
      </w:r>
    </w:p>
    <w:p>
      <w:pPr>
        <w:spacing w:before="80"/>
        <w:jc w:val="both"/>
      </w:pPr>
      <w:r>
        <w:rPr>
          <w:b/>
        </w:rPr>
        <w:t xml:space="preserve">13.3 </w:t>
      </w:r>
      <w:r>
        <w:rPr>
          <w:b/>
        </w:rPr>
        <w:t xml:space="preserve">Notices. </w:t>
      </w:r>
      <w:r>
        <w:t>Per addresses in Schedule 2.</w:t>
      </w:r>
    </w:p>
    <w:p>
      <w:pPr>
        <w:spacing w:before="80"/>
        <w:jc w:val="both"/>
      </w:pPr>
      <w:r>
        <w:rPr>
          <w:b/>
        </w:rPr>
        <w:t xml:space="preserve">13.4 </w:t>
      </w:r>
      <w:r>
        <w:rPr>
          <w:b/>
        </w:rPr>
        <w:t xml:space="preserve">Counterparts &amp; E-Sign. </w:t>
      </w:r>
      <w:r>
        <w:t>May be executed in counterparts (including electronically under the IT Act, 2000).</w:t>
      </w:r>
    </w:p>
    <w:p>
      <w:pPr>
        <w:spacing w:before="80"/>
        <w:jc w:val="both"/>
      </w:pPr>
      <w:r>
        <w:rPr>
          <w:b/>
        </w:rPr>
        <w:t xml:space="preserve">13.5 </w:t>
      </w:r>
      <w:r>
        <w:rPr>
          <w:b/>
        </w:rPr>
        <w:t xml:space="preserve">Stamp Duty. </w:t>
      </w:r>
      <w:r>
        <w:t>Stamp duty payable under the applicable State Stamp Act shall be borne by the Company.</w:t>
      </w:r>
    </w:p>
    <w:p>
      <w:pPr>
        <w:spacing w:before="80"/>
        <w:jc w:val="both"/>
      </w:pPr>
      <w:r>
        <w:rPr>
          <w:b/>
        </w:rPr>
        <w:t xml:space="preserve">13.6 </w:t>
      </w:r>
      <w:r>
        <w:rPr>
          <w:b/>
        </w:rPr>
        <w:t xml:space="preserve">Severability and Waiver. </w:t>
      </w:r>
      <w:r>
        <w:t>Severability and no implied waiver.</w:t>
      </w:r>
    </w:p>
    <w:p>
      <w:pPr>
        <w:spacing w:before="80"/>
        <w:jc w:val="both"/>
      </w:pPr>
      <w:r>
        <w:rPr>
          <w:b/>
        </w:rPr>
        <w:t xml:space="preserve">13.7 </w:t>
      </w:r>
      <w:r>
        <w:rPr>
          <w:b/>
        </w:rPr>
        <w:t xml:space="preserve">Reflection in Articles. </w:t>
      </w:r>
      <w:r>
        <w:t>The Articles of Association of the Company shall, within {{ARTICLES_AMENDMENT_DAYS}} days, be amended to reflect the drag-along right set out in this Agreement, in accordance with Section 58(2) of the Act.</w:t>
      </w:r>
    </w:p>
    <w:p>
      <w:r>
        <w:br w:type="page"/>
      </w:r>
    </w:p>
    <w:p>
      <w:pPr>
        <w:spacing w:before="240" w:after="80"/>
        <w:pBdr>
          <w:bottom w:val="single" w:sz="6" w:space="1" w:color="002060"/>
        </w:pBdr>
      </w:pPr>
      <w:r>
        <w:rPr>
          <w:b/>
          <w:color w:val="002060"/>
          <w:sz w:val="25"/>
        </w:rPr>
        <w:t>IN WITNESS WHEREOF</w:t>
      </w:r>
    </w:p>
    <w:p>
      <w:pPr>
        <w:jc w:val="both"/>
      </w:pPr>
      <w:r>
        <w:rPr>
          <w:b/>
          <w:i w:val="0"/>
        </w:rPr>
        <w:t>IN WITNESS WHEREOF, the Parties have executed this Drag-Along Agreement on the day, month and year first hereinabove written.</w:t>
      </w:r>
    </w:p>
    <w:p/>
    <w:p>
      <w:pPr>
        <w:spacing w:before="360"/>
      </w:pPr>
      <w:r>
        <w:rPr>
          <w:b/>
          <w:sz w:val="22"/>
        </w:rPr>
        <w:t>For and on behalf of THE COMPANY ({{COMPANY_NAME}})</w:t>
      </w:r>
    </w:p>
    <w:p/>
    <w:p>
      <w:r>
        <w:t>_________________________________</w:t>
      </w:r>
    </w:p>
    <w:p>
      <w:r>
        <w:rPr>
          <w:b/>
        </w:rPr>
        <w:t>Name: {{AUTHORISED_SIGNATORY_NAME}}</w:t>
      </w:r>
    </w:p>
    <w:p>
      <w:r>
        <w:t>Designation: {{AUTHORISED_SIGNATORY_DESIGNATION}}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360"/>
      </w:pPr>
      <w:r>
        <w:rPr>
          <w:b/>
          <w:sz w:val="22"/>
        </w:rPr>
        <w:t>For and on behalf of DRAGGING SHAREHOLDER 1 ({{DRAGGING_SHAREHOLDER_1_NAME}})</w:t>
      </w:r>
    </w:p>
    <w:p/>
    <w:p>
      <w:r>
        <w:t>_________________________________</w:t>
      </w:r>
    </w:p>
    <w:p>
      <w:r>
        <w:rPr>
          <w:b/>
        </w:rPr>
        <w:t>Name: {{DS1_SIGNATORY_NAME}}</w:t>
      </w:r>
    </w:p>
    <w:p>
      <w:r>
        <w:t>Designation: {{DS1_SIGNATORY_DESIGNATION}}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360"/>
      </w:pPr>
      <w:r>
        <w:rPr>
          <w:b/>
          <w:sz w:val="22"/>
        </w:rPr>
        <w:t>For and on behalf of DRAGGING SHAREHOLDER 2 ({{DRAGGING_SHAREHOLDER_2_NAME}})</w:t>
      </w:r>
    </w:p>
    <w:p/>
    <w:p>
      <w:r>
        <w:t>_________________________________</w:t>
      </w:r>
    </w:p>
    <w:p>
      <w:r>
        <w:rPr>
          <w:b/>
        </w:rPr>
        <w:t>Name: {{DS2_SIGNATORY_NAME}}</w:t>
      </w:r>
    </w:p>
    <w:p>
      <w:r>
        <w:t>Designation: {{DS2_SIGNATORY_DESIGNATION}}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360"/>
      </w:pPr>
      <w:r>
        <w:rPr>
          <w:b/>
          <w:sz w:val="22"/>
        </w:rPr>
        <w:t>For and on behalf of DRAGGED SHAREHOLDER 1</w:t>
      </w:r>
    </w:p>
    <w:p/>
    <w:p>
      <w:r>
        <w:t>_________________________________</w:t>
      </w:r>
    </w:p>
    <w:p>
      <w:r>
        <w:rPr>
          <w:b/>
        </w:rPr>
        <w:t>Name: {{DRAGGED_SHAREHOLDER_1_NAME}}</w:t>
      </w:r>
    </w:p>
    <w:p>
      <w:r>
        <w:t>Designation: {{DRAGGED_SHAREHOLDER_1_DESIGNATION}}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360"/>
      </w:pPr>
      <w:r>
        <w:rPr>
          <w:b/>
          <w:sz w:val="22"/>
        </w:rPr>
        <w:t>For and on behalf of DRAGGED SHAREHOLDER 2</w:t>
      </w:r>
    </w:p>
    <w:p/>
    <w:p>
      <w:r>
        <w:t>_________________________________</w:t>
      </w:r>
    </w:p>
    <w:p>
      <w:r>
        <w:rPr>
          <w:b/>
        </w:rPr>
        <w:t>Name: {{DRAGGED_SHAREHOLDER_2_NAME}}</w:t>
      </w:r>
    </w:p>
    <w:p>
      <w:r>
        <w:t>Designation: {{DRAGGED_SHAREHOLDER_2_DESIGNATION}}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200" w:after="160"/>
        <w:jc w:val="center"/>
      </w:pPr>
      <w:r>
        <w:rPr>
          <w:b/>
          <w:color w:val="002060"/>
          <w:sz w:val="30"/>
        </w:rPr>
        <w:t>SCHEDULES</w:t>
      </w:r>
    </w:p>
    <w:p>
      <w:pPr>
        <w:spacing w:before="240" w:after="80"/>
        <w:pBdr>
          <w:bottom w:val="single" w:sz="6" w:space="1" w:color="002060"/>
        </w:pBdr>
      </w:pPr>
      <w:r>
        <w:rPr>
          <w:b/>
          <w:color w:val="002060"/>
          <w:sz w:val="25"/>
        </w:rPr>
        <w:t>SCHEDULE 1 — SHAREHOLDING AT EFFECTIVE DATE</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255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Shareholder</w:t>
            </w:r>
          </w:p>
        </w:tc>
        <w:tc>
          <w:tcPr>
            <w:tcW w:type="dxa" w:w="141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Group</w:t>
            </w:r>
          </w:p>
        </w:tc>
        <w:tc>
          <w:tcPr>
            <w:tcW w:type="dxa" w:w="170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Securities</w:t>
            </w:r>
          </w:p>
        </w:tc>
        <w:tc>
          <w:tcPr>
            <w:tcW w:type="dxa" w:w="141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Class</w:t>
            </w:r>
          </w:p>
        </w:tc>
        <w:tc>
          <w:tcPr>
            <w:tcW w:type="dxa" w:w="170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 (Fully Diluted)</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{{DRAGGING_SHAREHOLDER_1_NAME}}</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Dragging</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{{DS1_SECURITIES}}</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{{DS1_CLASS}}</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{{DS1_PERCENT}}%</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{{DRAGGING_SHAREHOLDER_2_NAME}}</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Dragging</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{{DS2_SECURITIES}}</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{{DS2_CLASS}}</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{{DS2_PERCENT}}%</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{{DRAGGED_SHAREHOLDER_1_NAME}}</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Dragged</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{{DRG1_SECURITIES}}</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{{DRG1_CLASS}}</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{{DRG1_PERCENT}}%</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{{DRAGGED_SHAREHOLDER_2_NAME}}</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Dragged</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{{DRG2_SECURITIES}}</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{{DRG2_CLASS}}</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{{DRG2_PERCENT}}%</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ESOP Pool</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{{ESOP_POOL_SECURITIES}}</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Options</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{{ESOP_POOL_PERCENT}}%</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Total</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{{TOTAL_SECURITIES}}</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100%</w:t>
            </w:r>
          </w:p>
        </w:tc>
      </w:tr>
    </w:tbl>
    <w:p/>
    <w:p>
      <w:r>
        <w:br w:type="page"/>
      </w:r>
    </w:p>
    <w:p>
      <w:pPr>
        <w:spacing w:before="240" w:after="80"/>
        <w:pBdr>
          <w:bottom w:val="single" w:sz="6" w:space="1" w:color="002060"/>
        </w:pBdr>
      </w:pPr>
      <w:r>
        <w:rPr>
          <w:b/>
          <w:color w:val="002060"/>
          <w:sz w:val="25"/>
        </w:rPr>
        <w:t>SCHEDULE 2 — NOTICES</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Party</w:t>
            </w:r>
          </w:p>
        </w:tc>
        <w:tc>
          <w:tcPr>
            <w:tcW w:type="dxa" w:w="311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Address</w:t>
            </w:r>
          </w:p>
        </w:tc>
        <w:tc>
          <w:tcPr>
            <w:tcW w:type="dxa" w:w="226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Email</w:t>
            </w:r>
          </w:p>
        </w:tc>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Attention</w:t>
            </w:r>
          </w:p>
        </w:tc>
      </w:tr>
      <w:tr>
        <w:tc>
          <w:tcPr>
            <w:tcW w:type="dxa" w:w="1984"/>
            <w:tcBorders>
              <w:top w:val="single" w:sz="4" w:color="808080"/>
              <w:left w:val="single" w:sz="4" w:color="808080"/>
              <w:bottom w:val="single" w:sz="4" w:color="808080"/>
              <w:right w:val="single" w:sz="4" w:color="808080"/>
            </w:tcBorders>
            <w:vAlign w:val="center"/>
          </w:tcPr>
          <w:p>
            <w:pPr>
              <w:jc w:val="left"/>
            </w:pPr>
            <w:r/>
            <w:r>
              <w:rPr>
                <w:b/>
                <w:sz w:val="21"/>
              </w:rPr>
              <w:t>{{COMPANY_NAME}}</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{{COMPANY_NOTICE_ADDRESS}}</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{{COMPANY_NOTICE_EMAIL}}</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{{COMPANY_NOTICE_ATTENTION}}</w:t>
            </w:r>
          </w:p>
        </w:tc>
      </w:tr>
      <w:tr>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{{DRAGGING_SHAREHOLDER_1_NAME}}</w:t>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{{DS1_NOTICE_ADDRESS}}</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{{DS1_EMAIL}}</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{{DS1_ATTN}}</w:t>
            </w:r>
          </w:p>
        </w:tc>
      </w:tr>
      <w:tr>
        <w:tc>
          <w:tcPr>
            <w:tcW w:type="dxa" w:w="1984"/>
            <w:tcBorders>
              <w:top w:val="single" w:sz="4" w:color="808080"/>
              <w:left w:val="single" w:sz="4" w:color="808080"/>
              <w:bottom w:val="single" w:sz="4" w:color="808080"/>
              <w:right w:val="single" w:sz="4" w:color="808080"/>
            </w:tcBorders>
            <w:vAlign w:val="center"/>
          </w:tcPr>
          <w:p>
            <w:pPr>
              <w:jc w:val="left"/>
            </w:pPr>
            <w:r/>
            <w:r>
              <w:rPr>
                <w:b/>
                <w:sz w:val="21"/>
              </w:rPr>
              <w:t>{{DRAGGING_SHAREHOLDER_2_NAME}}</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{{DS2_NOTICE_ADDRESS}}</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{{DS2_EMAIL}}</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{{DS2_ATTN}}</w:t>
            </w:r>
          </w:p>
        </w:tc>
      </w:tr>
      <w:tr>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{{DRAGGED_SHAREHOLDER_1_NAME}}</w:t>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{{DRG1_NOTICE_ADDRESS}}</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{{DRG1_EMAIL}}</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Self</w:t>
            </w:r>
          </w:p>
        </w:tc>
      </w:tr>
      <w:tr>
        <w:tc>
          <w:tcPr>
            <w:tcW w:type="dxa" w:w="1984"/>
            <w:tcBorders>
              <w:top w:val="single" w:sz="4" w:color="808080"/>
              <w:left w:val="single" w:sz="4" w:color="808080"/>
              <w:bottom w:val="single" w:sz="4" w:color="808080"/>
              <w:right w:val="single" w:sz="4" w:color="808080"/>
            </w:tcBorders>
            <w:vAlign w:val="center"/>
          </w:tcPr>
          <w:p>
            <w:pPr>
              <w:jc w:val="left"/>
            </w:pPr>
            <w:r/>
            <w:r>
              <w:rPr>
                <w:b/>
                <w:sz w:val="21"/>
              </w:rPr>
              <w:t>{{DRAGGED_SHAREHOLDER_2_NAME}}</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{{DRG2_NOTICE_ADDRESS}}</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{{DRG2_EMAIL}}</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Self</w:t>
            </w:r>
          </w:p>
        </w:tc>
      </w:tr>
    </w:tbl>
    <w:p/>
    <w:p>
      <w:r>
        <w:br w:type="page"/>
      </w:r>
    </w:p>
    <w:p>
      <w:pPr>
        <w:spacing w:before="240" w:after="80"/>
        <w:pBdr>
          <w:bottom w:val="single" w:sz="6" w:space="1" w:color="002060"/>
        </w:pBdr>
      </w:pPr>
      <w:r>
        <w:rPr>
          <w:b/>
          <w:color w:val="002060"/>
          <w:sz w:val="25"/>
        </w:rPr>
        <w:t>SCHEDULE 3 — FORM OF DRAG NOTICE</w:t>
      </w:r>
    </w:p>
    <w:p>
      <w:pPr>
        <w:jc w:val="both"/>
      </w:pPr>
      <w:r>
        <w:rPr>
          <w:b w:val="0"/>
          <w:i/>
        </w:rPr>
        <w:t>[Date]</w:t>
      </w:r>
    </w:p>
    <w:p>
      <w:pPr>
        <w:jc w:val="both"/>
      </w:pPr>
      <w:r>
        <w:rPr>
          <w:b w:val="0"/>
          <w:i w:val="0"/>
        </w:rPr>
        <w:t>To: The Dragged Shareholders (per Schedule 1)</w:t>
      </w:r>
    </w:p>
    <w:p>
      <w:pPr>
        <w:jc w:val="both"/>
      </w:pPr>
      <w:r>
        <w:rPr>
          <w:b w:val="0"/>
          <w:i w:val="0"/>
        </w:rPr>
        <w:t>Cc: {{COMPANY_NAME}}</w:t>
      </w:r>
    </w:p>
    <w:p>
      <w:pPr>
        <w:jc w:val="both"/>
      </w:pPr>
      <w:r>
        <w:rPr>
          <w:b w:val="0"/>
          <w:i w:val="0"/>
        </w:rPr>
        <w:t>Re: Drag Notice under the Drag-Along Agreement dated {{EFFECTIVE_DATE}} (the “Agreement”). Capitalised terms used herein but not defined shall have the meaning ascribed to them in the Agreement.</w:t>
      </w:r>
    </w:p>
    <w:p>
      <w:pPr>
        <w:jc w:val="both"/>
      </w:pPr>
      <w:r>
        <w:rPr>
          <w:b w:val="0"/>
          <w:i w:val="0"/>
        </w:rPr>
        <w:t>We, the Dragging Shareholders, holding in aggregate {{DS_TOTAL_PERCENT}}% of the Investor Securities (exceeding the Drag Threshold of {{DRAG_THRESHOLD_PERCENT}}%), hereby notify you of the exercise of our Drag-Along Right pursuant to the following Bona Fide Offer:</w:t>
      </w:r>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Drag Purchaser (Name, Address, UBO)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Total Securities to be Transferred</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100% of the Company</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Price per Security (₹)</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Aggregate Consideration (₹)</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Form of Consideration (Cash / Listed Securities)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Drag Closing Date (proposed)</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Liquidation Waterfall Calculation</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(Annexed)</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Reg. clearances anticipated (CCI / RBI / Sectoral)</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Form of Share Purchase Agreement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(Annexed)</w:t>
            </w:r>
          </w:p>
        </w:tc>
      </w:tr>
    </w:tbl>
    <w:p/>
    <w:p>
      <w:pPr>
        <w:jc w:val="both"/>
      </w:pPr>
      <w:r>
        <w:rPr>
          <w:b w:val="0"/>
          <w:i w:val="0"/>
        </w:rPr>
        <w:t>By Closing, you are required to execute and deliver: (i) share transfer forms (Form SH-4); (ii) share certificates / DEMAT delivery instructions; (iii) the share purchase / shareholders’ exit agreement; and (iv) such resolutions and filings as may be required. Failure to comply shall entitle us to exercise the Power of Attorney under Clause 3.5 of the Agreement.</w:t>
      </w:r>
    </w:p>
    <w:p>
      <w:pPr>
        <w:jc w:val="both"/>
      </w:pPr>
      <w:r>
        <w:rPr>
          <w:b w:val="0"/>
          <w:i w:val="0"/>
        </w:rPr>
        <w:t>Sincerely, the Dragging Shareholders</w:t>
      </w:r>
    </w:p>
    <w:p>
      <w:r>
        <w:br w:type="page"/>
      </w:r>
    </w:p>
    <w:p>
      <w:pPr>
        <w:spacing w:before="240" w:after="80"/>
        <w:pBdr>
          <w:bottom w:val="single" w:sz="6" w:space="1" w:color="002060"/>
        </w:pBdr>
      </w:pPr>
      <w:r>
        <w:rPr>
          <w:b/>
          <w:color w:val="002060"/>
          <w:sz w:val="25"/>
        </w:rPr>
        <w:t>DRAFTING NOTES (REMOVE BEFORE EXECUTION)</w:t>
      </w:r>
    </w:p>
    <w:p>
      <w:pPr>
        <w:pStyle w:val="ListBullet"/>
        <w:spacing w:after="40"/>
        <w:ind w:left="567"/>
        <w:jc w:val="both"/>
      </w:pPr>
      <w:r>
        <w:t>Drag-along is enforceable in private companies under Section 58(2) of the Companies Act, 2013, provided it is reflected in the Articles. *Messer Holdings* and *World Phone India* support contractual enforceability.</w:t>
      </w:r>
    </w:p>
    <w:p>
      <w:pPr>
        <w:pStyle w:val="ListBullet"/>
        <w:spacing w:after="40"/>
        <w:ind w:left="567"/>
        <w:jc w:val="both"/>
      </w:pPr>
      <w:r>
        <w:t>*Vodafone International Holdings v. Union of India* (SC, 2012) — pre-emptive rights, ROFR, drag-along enforceable as inter-se shareholder rights.</w:t>
      </w:r>
    </w:p>
    <w:p>
      <w:pPr>
        <w:pStyle w:val="ListBullet"/>
        <w:spacing w:after="40"/>
        <w:ind w:left="567"/>
        <w:jc w:val="both"/>
      </w:pPr>
      <w:r>
        <w:t>Power of Attorney coupled with interest is recognised under Section 202 of the Indian Contract Act, 1872 — irrevocable; should be stamped under Article 48 of the Indian Stamp Act, 1899 / applicable State Stamp Act.</w:t>
      </w:r>
    </w:p>
    <w:p>
      <w:pPr>
        <w:pStyle w:val="ListBullet"/>
        <w:spacing w:after="40"/>
        <w:ind w:left="567"/>
        <w:jc w:val="both"/>
      </w:pPr>
      <w:r>
        <w:t>For non-resident drag purchaser: pricing floor under FEMA NDI Rules, 2019 (DCF); Form FC-TRS via FIRMS portal within 60 days; Press Note 3 (2020) approval where applicable.</w:t>
      </w:r>
    </w:p>
    <w:p>
      <w:pPr>
        <w:pStyle w:val="ListBullet"/>
        <w:spacing w:after="40"/>
        <w:ind w:left="567"/>
        <w:jc w:val="both"/>
      </w:pPr>
      <w:r>
        <w:t>CCI approval may be required if combination thresholds are crossed (assets / turnover); Form I / II to be filed at least 30 days before consummation.</w:t>
      </w:r>
    </w:p>
    <w:p>
      <w:pPr>
        <w:pStyle w:val="ListBullet"/>
        <w:spacing w:after="40"/>
        <w:ind w:left="567"/>
        <w:jc w:val="both"/>
      </w:pPr>
      <w:r>
        <w:t>Tax: capital gains in hands of Selling Shareholders; TDS under Section 195 / 194-IA / 194Q where applicable. Section 50CA / 56(2)(x) — if transferred below FMV, deemed consideration / deemed gift may arise.</w:t>
      </w:r>
    </w:p>
    <w:p>
      <w:pPr>
        <w:pStyle w:val="ListBullet"/>
        <w:spacing w:after="40"/>
        <w:ind w:left="567"/>
        <w:jc w:val="both"/>
      </w:pPr>
      <w:r>
        <w:t>Stamp duty on Share Transfer: 0.015% under Article 62 of the Indian Stamp Act, 1899 (uniform post 2020 amendment).</w:t>
      </w:r>
    </w:p>
    <w:p>
      <w:pPr>
        <w:pStyle w:val="ListBullet"/>
        <w:spacing w:after="40"/>
        <w:ind w:left="567"/>
        <w:jc w:val="both"/>
      </w:pPr>
      <w:r>
        <w:t>Watch-out: Drag-along provisions in the AoA must not be inconsistent with Section 58 of the Act, which requires that share transfers in a private company are subject to Articles. AoA must specifically codify the drag mechanism.</w:t>
      </w:r>
    </w:p>
    <w:p>
      <w:pPr>
        <w:pStyle w:val="ListBullet"/>
        <w:spacing w:after="40"/>
        <w:ind w:left="567"/>
        <w:jc w:val="both"/>
      </w:pPr>
      <w:r>
        <w:t>Founder ‘bring-along’ obligations are typically harmonised with reverse-vesting and good leaver / bad leaver provisions in the Founders’ Agreement.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