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{{COMPANY_NAME}}</w:t>
      </w:r>
    </w:p>
    <w:p>
      <w:pPr>
        <w:spacing w:before="200" w:after="160"/>
        <w:jc w:val="center"/>
      </w:pPr>
      <w:r>
        <w:rPr>
          <w:b/>
          <w:color w:val="002060"/>
          <w:sz w:val="30"/>
        </w:rPr>
        <w:t>EMPLOYEE STOCK OPTION PLAN</w:t>
      </w:r>
    </w:p>
    <w:p>
      <w:pPr>
        <w:spacing w:before="200" w:after="160"/>
        <w:jc w:val="center"/>
      </w:pPr>
      <w:r>
        <w:rPr>
          <w:b/>
          <w:color w:val="002060"/>
          <w:sz w:val="26"/>
        </w:rPr>
        <w:t>(“{{PLAN_SHORT_NAME}}” / “The Plan” / “ESOP {{PLAN_YEAR}}”)</w:t>
      </w:r>
    </w:p>
    <w:p>
      <w:r>
        <w:rPr>
          <w:b w:val="0"/>
          <w:i/>
        </w:rPr>
        <w:t>Adopted by the Board of Directors on: {{BOARD_APPROVAL_DATE}}</w:t>
      </w:r>
    </w:p>
    <w:p>
      <w:r>
        <w:rPr>
          <w:b w:val="0"/>
          <w:i/>
        </w:rPr>
        <w:t>Approved by the Shareholders (Special Resolution) on: {{SR_DATE}}</w:t>
      </w:r>
    </w:p>
    <w:p>
      <w:r>
        <w:rPr>
          <w:b w:val="0"/>
          <w:i/>
        </w:rPr>
        <w:t>Effective Date: {{EFFECTIVE_DATE}}</w:t>
      </w:r>
    </w:p>
    <w:p/>
    <w:p>
      <w:pPr>
        <w:spacing w:before="240" w:after="80"/>
        <w:pBdr>
          <w:bottom w:val="single" w:sz="6" w:space="1" w:color="002060"/>
        </w:pBdr>
      </w:pPr>
      <w:r>
        <w:rPr>
          <w:b/>
          <w:color w:val="002060"/>
          <w:sz w:val="25"/>
        </w:rPr>
        <w:t>PLAN AT A GLANCE</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Issuer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Plan Name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{{PLAN_SHORT_NAME}}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Plan Year of Adoption</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{{PLAN_YEAR}}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Total ESOP Pool (Options)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{{TOTAL_OPTION_POOL}} options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 of Fully Diluted Capital</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{{ESOP_POOL_PERCENT}}%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Class of Underlying Shares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Equity Shares of ₹ {{FACE_VALUE_INR}} each</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Plan Administrator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Nomination &amp; Remuneration Committee / Board</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Default Vesting Period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{{DEFAULT_VESTING_MONTHS}} months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Default Cliff</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{{DEFAULT_CLIFF_MONTHS}} months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Default Exercise Period (Post-Vest)</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{{DEFAULT_EXERCISE_MONTHS}} months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Exercise Price Basis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{{EXERCISE_PRICE_BASIS}} (FMV / Discount / Face 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Governing Law</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Laws of the Republic of India</w:t>
            </w:r>
          </w:p>
        </w:tc>
      </w:tr>
    </w:tbl>
    <w:p/>
    <w:p>
      <w:pPr>
        <w:spacing w:before="240" w:after="80"/>
        <w:pBdr>
          <w:bottom w:val="single" w:sz="6" w:space="1" w:color="002060"/>
        </w:pBdr>
      </w:pPr>
      <w:r>
        <w:rPr>
          <w:b/>
          <w:color w:val="002060"/>
          <w:sz w:val="25"/>
        </w:rPr>
        <w:t>1.  PREAMBLE AND OBJECTIVES</w:t>
      </w:r>
    </w:p>
    <w:p>
      <w:pPr>
        <w:spacing w:before="80"/>
        <w:jc w:val="both"/>
      </w:pPr>
      <w:r>
        <w:rPr>
          <w:b/>
        </w:rPr>
        <w:t xml:space="preserve">1.1 </w:t>
      </w:r>
      <w:r>
        <w:rPr>
          <w:b/>
        </w:rPr>
        <w:t xml:space="preserve">Preamble. </w:t>
      </w:r>
      <w:r>
        <w:t>{{COMPANY_NAME}} (the “Company”) hereby establishes the {{PLAN_SHORT_NAME}} (the “Plan” or the “ESOP”) pursuant to and in accordance with Section 62(1)(b) of the Companies Act, 2013 (the “Act”) and Rule 12 of the Companies (Share Capital and Debentures) Rules, 2014 (the “Rules”). The Plan was approved by the Board of Directors of the Company on {{BOARD_APPROVAL_DATE}} and by the shareholders by way of a Special Resolution passed at the {{MEETING_TYPE}} held on {{SR_DATE}}.</w:t>
      </w:r>
    </w:p>
    <w:p>
      <w:pPr>
        <w:spacing w:before="80"/>
        <w:jc w:val="both"/>
      </w:pPr>
      <w:r>
        <w:rPr>
          <w:b/>
        </w:rPr>
        <w:t xml:space="preserve">1.2 </w:t>
      </w:r>
      <w:r>
        <w:rPr>
          <w:b/>
        </w:rPr>
        <w:t xml:space="preserve">Objectives. </w:t>
      </w:r>
      <w:r>
        <w:t>The objectives of the Plan are to:</w:t>
      </w:r>
    </w:p>
    <w:p>
      <w:pPr>
        <w:spacing w:before="40"/>
        <w:ind w:left="454"/>
        <w:jc w:val="both"/>
      </w:pPr>
      <w:r>
        <w:rPr>
          <w:b/>
        </w:rPr>
        <w:t xml:space="preserve">(a) </w:t>
      </w:r>
      <w:r>
        <w:t>attract, retain, motivate and reward talented individuals who contribute to the long-term success of the Company;</w:t>
      </w:r>
    </w:p>
    <w:p>
      <w:pPr>
        <w:spacing w:before="40"/>
        <w:ind w:left="454"/>
        <w:jc w:val="both"/>
      </w:pPr>
      <w:r>
        <w:rPr>
          <w:b/>
        </w:rPr>
        <w:t xml:space="preserve">(b) </w:t>
      </w:r>
      <w:r>
        <w:t>align the interests of such individuals with those of the shareholders by offering them an opportunity to participate in the future growth of the Company through equity ownership;</w:t>
      </w:r>
    </w:p>
    <w:p>
      <w:pPr>
        <w:spacing w:before="40"/>
        <w:ind w:left="454"/>
        <w:jc w:val="both"/>
      </w:pPr>
      <w:r>
        <w:rPr>
          <w:b/>
        </w:rPr>
        <w:t xml:space="preserve">(c) </w:t>
      </w:r>
      <w:r>
        <w:t>create a sense of ownership and entrepreneurial commitment amongst Eligible Persons; and</w:t>
      </w:r>
    </w:p>
    <w:p>
      <w:pPr>
        <w:spacing w:before="40"/>
        <w:ind w:left="454"/>
        <w:jc w:val="both"/>
      </w:pPr>
      <w:r>
        <w:rPr>
          <w:b/>
        </w:rPr>
        <w:t xml:space="preserve">(d) </w:t>
      </w:r>
      <w:r>
        <w:t>provide a competitive compensation package consistent with industry standards.</w:t>
      </w:r>
    </w:p>
    <w:p>
      <w:pPr>
        <w:spacing w:before="240" w:after="80"/>
        <w:pBdr>
          <w:bottom w:val="single" w:sz="6" w:space="1" w:color="002060"/>
        </w:pBdr>
      </w:pPr>
      <w:r>
        <w:rPr>
          <w:b/>
          <w:color w:val="002060"/>
          <w:sz w:val="25"/>
        </w:rPr>
        <w:t>2.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72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63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Companies Act, 2013, together with the rules and regulations made thereunder.</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“Administrator”</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Nomination and Remuneration Committee of the Board (or, in its absence, the Board) which shall administer the Plan.</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“Applicable Law”</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all applicable Indian statutes, rules, regulations, circulars, notifications, orders, guidelines and directions of any governmental or regulatory authority, including the Act, the Income-tax Act, 1961, the Foreign Exchange Management Act, 1999, and (where applicable) the rules and regulations of SEBI.</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“Board”</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board of directors of the Company.</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“Cliff Period”</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minimum period commencing from the Grant Date during which no Options shall Vest. The minimum statutory Cliff Period is one (1) year, in accordance with Rule 12(6)(a) of the Rules.</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“Eligible Person”</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 person eligible to receive a Grant under Clause 3 of the Plan.</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“Exercise”</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act of converting Vested Options into Shares by following the procedure set out in Clause 8.</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“Exercise Period”</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period after Vesting during which the Vested Options may be Exercised.</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“Exercise Price”</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price payable per Share upon Exercise of an Option, as set out in the Grant Letter.</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“Fair Market Value” / “FMV”</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fair market value per Share of the Company as determined by a Registered Valuer under Section 247 of the Act on a specified Reference Date, in accordance with the Income-tax Rules where required.</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“Grant”</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grant of Options to an Eligible Person under the Plan.</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“Grant Date”</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date on which the Administrator approves a Grant to an Eligible Person, as recorded in the Grant Letter.</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“Grant Letter”</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individual award letter issued to a Grantee under the Plan, in the form approved by the Administrator.</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“Grantee” / “Option Holder”</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 Eligible Person to whom a Grant has been made and accepted.</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“Option”</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a stock option granted to an Eligible Person under the Plan, entitling the Grantee to subscribe to one (1) Share upon Vesting and Exercise, subject to the terms hereof.</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“Permitted Transferee”</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 the event of the Grantee’s death, the nominee(s) or legal heir(s) of the Grantee.</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“Plan”</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this Employee Stock Option Plan, as amended from time to time.</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“Registered Valuer”</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 person registered as a valuer under Section 247 of the Act.</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“Share(s)”</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fully paid-up equity shares of the Company of face value ₹ {{FACE_VALUE_INR}} each.</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“Start-up”</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Company, where recognised as a “start-up” by DPIIT, and entitled to the relaxations under MCA Notification dated 5 June 2015 read with 19 June 2019.</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“Vesting”</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process by which an Option becomes capable of being Exercised; an Option is said to have “Vested” when so capable.</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“Vesting Date”</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date on which an Option Vests, as specified in the Grant Letter.</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“Vesting Period”</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total period over which Options Vest, including the Cliff Period.</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“Vesting Schedule”</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schedule of Vesting set out in the Grant Letter.</w:t>
            </w:r>
          </w:p>
        </w:tc>
      </w:tr>
    </w:tbl>
    <w:p/>
    <w:p>
      <w:pPr>
        <w:spacing w:before="240" w:after="80"/>
        <w:pBdr>
          <w:bottom w:val="single" w:sz="6" w:space="1" w:color="002060"/>
        </w:pBdr>
      </w:pPr>
      <w:r>
        <w:rPr>
          <w:b/>
          <w:color w:val="002060"/>
          <w:sz w:val="25"/>
        </w:rPr>
        <w:t>3.  ELIGIBILITY</w:t>
      </w:r>
    </w:p>
    <w:p>
      <w:pPr>
        <w:spacing w:before="80"/>
        <w:jc w:val="both"/>
      </w:pPr>
      <w:r>
        <w:rPr>
          <w:b/>
        </w:rPr>
        <w:t xml:space="preserve">3.1 </w:t>
      </w:r>
      <w:r>
        <w:rPr>
          <w:b/>
        </w:rPr>
        <w:t xml:space="preserve">Eligible Persons. </w:t>
      </w:r>
      <w:r>
        <w:t>Subject to Clause 3.2, the following persons shall be eligible to receive a Grant of Options under the Plan, in accordance with the Explanation to Rule 12(1) of the Rules:</w:t>
      </w:r>
    </w:p>
    <w:p>
      <w:pPr>
        <w:spacing w:before="40"/>
        <w:ind w:left="454"/>
        <w:jc w:val="both"/>
      </w:pPr>
      <w:r>
        <w:rPr>
          <w:b/>
        </w:rPr>
        <w:t xml:space="preserve">(a) </w:t>
      </w:r>
      <w:r>
        <w:t>a permanent employee of the Company who has been working in India or outside India;</w:t>
      </w:r>
    </w:p>
    <w:p>
      <w:pPr>
        <w:spacing w:before="40"/>
        <w:ind w:left="454"/>
        <w:jc w:val="both"/>
      </w:pPr>
      <w:r>
        <w:rPr>
          <w:b/>
        </w:rPr>
        <w:t xml:space="preserve">(b) </w:t>
      </w:r>
      <w:r>
        <w:t>a director of the Company, whether a whole-time director or not, but excluding an independent director;</w:t>
      </w:r>
    </w:p>
    <w:p>
      <w:pPr>
        <w:spacing w:before="40"/>
        <w:ind w:left="454"/>
        <w:jc w:val="both"/>
      </w:pPr>
      <w:r>
        <w:rPr>
          <w:b/>
        </w:rPr>
        <w:t xml:space="preserve">(c) </w:t>
      </w:r>
      <w:r>
        <w:t>a permanent employee or director of a subsidiary, in India or outside India, or of a holding company of the Company; and</w:t>
      </w:r>
    </w:p>
    <w:p>
      <w:pPr>
        <w:spacing w:before="40"/>
        <w:ind w:left="454"/>
        <w:jc w:val="both"/>
      </w:pPr>
      <w:r>
        <w:rPr>
          <w:b/>
        </w:rPr>
        <w:t xml:space="preserve">(d) </w:t>
      </w:r>
      <w:r>
        <w:t>(only where the Company is a DPIIT-recognised Start-up, for a period of ten (10) years from the date of its incorporation) a promoter of the Company, OR a director who, either himself/herself or through any body corporate, holds more than ten percent (10%) of the outstanding equity shares of the Company.</w:t>
      </w:r>
    </w:p>
    <w:p>
      <w:pPr>
        <w:spacing w:before="80"/>
        <w:jc w:val="both"/>
      </w:pPr>
      <w:r>
        <w:rPr>
          <w:b/>
        </w:rPr>
        <w:t xml:space="preserve">3.2 </w:t>
      </w:r>
      <w:r>
        <w:rPr>
          <w:b/>
        </w:rPr>
        <w:t xml:space="preserve">Exclusions. </w:t>
      </w:r>
      <w:r>
        <w:t>Subject to Clause 3.1(d), the following persons are NOT eligible to receive Options:</w:t>
      </w:r>
    </w:p>
    <w:p>
      <w:pPr>
        <w:spacing w:before="40"/>
        <w:ind w:left="454"/>
        <w:jc w:val="both"/>
      </w:pPr>
      <w:r>
        <w:rPr>
          <w:b/>
        </w:rPr>
        <w:t xml:space="preserve">(a) </w:t>
      </w:r>
      <w:r>
        <w:t>an Employee who is a promoter or belongs to the promoter group; and</w:t>
      </w:r>
    </w:p>
    <w:p>
      <w:pPr>
        <w:spacing w:before="40"/>
        <w:ind w:left="454"/>
        <w:jc w:val="both"/>
      </w:pPr>
      <w:r>
        <w:rPr>
          <w:b/>
        </w:rPr>
        <w:t xml:space="preserve">(b) </w:t>
      </w:r>
      <w:r>
        <w:t>a director who either himself/herself or through any body corporate, directly or indirectly, holds more than 10% of the outstanding equity shares of the Company.</w:t>
      </w:r>
    </w:p>
    <w:p>
      <w:pPr>
        <w:spacing w:before="80"/>
        <w:jc w:val="both"/>
      </w:pPr>
      <w:r>
        <w:rPr>
          <w:b/>
        </w:rPr>
        <w:t xml:space="preserve">3.3 </w:t>
      </w:r>
      <w:r>
        <w:rPr>
          <w:b/>
        </w:rPr>
        <w:t xml:space="preserve">Independent Discretion. </w:t>
      </w:r>
      <w:r>
        <w:t>The Administrator shall have absolute discretion to determine the Eligible Persons to whom Grants shall be made under the Plan. No Eligible Person shall have any vested right to receive a Grant.</w:t>
      </w:r>
    </w:p>
    <w:p>
      <w:pPr>
        <w:spacing w:before="240" w:after="80"/>
        <w:pBdr>
          <w:bottom w:val="single" w:sz="6" w:space="1" w:color="002060"/>
        </w:pBdr>
      </w:pPr>
      <w:r>
        <w:rPr>
          <w:b/>
          <w:color w:val="002060"/>
          <w:sz w:val="25"/>
        </w:rPr>
        <w:t>4.  SHARES SUBJECT TO THE PLAN</w:t>
      </w:r>
    </w:p>
    <w:p>
      <w:pPr>
        <w:spacing w:before="80"/>
        <w:jc w:val="both"/>
      </w:pPr>
      <w:r>
        <w:rPr>
          <w:b/>
        </w:rPr>
        <w:t xml:space="preserve">4.1 </w:t>
      </w:r>
      <w:r>
        <w:rPr>
          <w:b/>
        </w:rPr>
        <w:t xml:space="preserve">Option Pool. </w:t>
      </w:r>
      <w:r>
        <w:t>The aggregate number of Shares that may be issued upon Exercise of Options granted under the Plan shall not exceed {{TOTAL_OPTION_POOL}} ({{TOTAL_OPTION_POOL_WORDS}}) equity shares of face value ₹ {{FACE_VALUE_INR}} each, representing approximately {{ESOP_POOL_PERCENT}}% of the fully diluted share capital of the Company as at the Effective Date.</w:t>
      </w:r>
    </w:p>
    <w:p>
      <w:pPr>
        <w:spacing w:before="80"/>
        <w:jc w:val="both"/>
      </w:pPr>
      <w:r>
        <w:rPr>
          <w:b/>
        </w:rPr>
        <w:t xml:space="preserve">4.2 </w:t>
      </w:r>
      <w:r>
        <w:rPr>
          <w:b/>
        </w:rPr>
        <w:t xml:space="preserve">Pool Replenishment. </w:t>
      </w:r>
      <w:r>
        <w:t>Options that are forfeited, lapsed, surrendered, cancelled, or which expire without Exercise, shall be available for re-grant under the Plan.</w:t>
      </w:r>
    </w:p>
    <w:p>
      <w:pPr>
        <w:spacing w:before="80"/>
        <w:jc w:val="both"/>
      </w:pPr>
      <w:r>
        <w:rPr>
          <w:b/>
        </w:rPr>
        <w:t xml:space="preserve">4.3 </w:t>
      </w:r>
      <w:r>
        <w:rPr>
          <w:b/>
        </w:rPr>
        <w:t xml:space="preserve">Adjustments. </w:t>
      </w:r>
      <w:r>
        <w:t>In the event of a bonus issue, sub-division or consolidation of shares, rights issue, merger, demerger, scheme of arrangement, capital reduction, or any other corporate action affecting the share capital of the Company, the Administrator shall make such fair and equitable adjustments to (i) the number of Options outstanding, (ii) the Exercise Price, and (iii) the Option Pool, as it deems appropriate, subject to the provisions of Rule 12(7) of the Rules.</w:t>
      </w:r>
    </w:p>
    <w:p>
      <w:pPr>
        <w:spacing w:before="80"/>
        <w:jc w:val="both"/>
      </w:pPr>
      <w:r>
        <w:rPr>
          <w:b/>
        </w:rPr>
        <w:t xml:space="preserve">4.4 </w:t>
      </w:r>
      <w:r>
        <w:rPr>
          <w:b/>
        </w:rPr>
        <w:t xml:space="preserve">Pool Expansion. </w:t>
      </w:r>
      <w:r>
        <w:t>Any expansion of the Option Pool beyond the limits in Clause 4.1 shall require fresh approval by Board resolution and Special Resolution of the shareholders, and the filing of Form MGT-14.</w:t>
      </w:r>
    </w:p>
    <w:p>
      <w:pPr>
        <w:spacing w:before="240" w:after="80"/>
        <w:pBdr>
          <w:bottom w:val="single" w:sz="6" w:space="1" w:color="002060"/>
        </w:pBdr>
      </w:pPr>
      <w:r>
        <w:rPr>
          <w:b/>
          <w:color w:val="002060"/>
          <w:sz w:val="25"/>
        </w:rPr>
        <w:t>5.  ADMINISTRATION</w:t>
      </w:r>
    </w:p>
    <w:p>
      <w:pPr>
        <w:spacing w:before="80"/>
        <w:jc w:val="both"/>
      </w:pPr>
      <w:r>
        <w:rPr>
          <w:b/>
        </w:rPr>
        <w:t xml:space="preserve">5.1 </w:t>
      </w:r>
      <w:r>
        <w:rPr>
          <w:b/>
        </w:rPr>
        <w:t xml:space="preserve">Administrator. </w:t>
      </w:r>
      <w:r>
        <w:t>The Plan shall be administered by the Nomination and Remuneration Committee (where constituted) or, in its absence, by the Board (the “Administrator”). The Administrator shall have full power and authority to:</w:t>
      </w:r>
    </w:p>
    <w:p>
      <w:pPr>
        <w:spacing w:before="40"/>
        <w:ind w:left="454"/>
        <w:jc w:val="both"/>
      </w:pPr>
      <w:r>
        <w:rPr>
          <w:b/>
        </w:rPr>
        <w:t xml:space="preserve">(a) </w:t>
      </w:r>
      <w:r>
        <w:t>determine the Eligible Persons to whom Grants shall be made;</w:t>
      </w:r>
    </w:p>
    <w:p>
      <w:pPr>
        <w:spacing w:before="40"/>
        <w:ind w:left="454"/>
        <w:jc w:val="both"/>
      </w:pPr>
      <w:r>
        <w:rPr>
          <w:b/>
        </w:rPr>
        <w:t xml:space="preserve">(b) </w:t>
      </w:r>
      <w:r>
        <w:t>determine the number of Options, Exercise Price, Vesting Schedule, Cliff, Exercise Period and other terms of each Grant;</w:t>
      </w:r>
    </w:p>
    <w:p>
      <w:pPr>
        <w:spacing w:before="40"/>
        <w:ind w:left="454"/>
        <w:jc w:val="both"/>
      </w:pPr>
      <w:r>
        <w:rPr>
          <w:b/>
        </w:rPr>
        <w:t xml:space="preserve">(c) </w:t>
      </w:r>
      <w:r>
        <w:t>interpret the Plan and any Grant Letter, and resolve any ambiguities or questions of construction;</w:t>
      </w:r>
    </w:p>
    <w:p>
      <w:pPr>
        <w:spacing w:before="40"/>
        <w:ind w:left="454"/>
        <w:jc w:val="both"/>
      </w:pPr>
      <w:r>
        <w:rPr>
          <w:b/>
        </w:rPr>
        <w:t xml:space="preserve">(d) </w:t>
      </w:r>
      <w:r>
        <w:t>make rules and procedures for administration of the Plan;</w:t>
      </w:r>
    </w:p>
    <w:p>
      <w:pPr>
        <w:spacing w:before="40"/>
        <w:ind w:left="454"/>
        <w:jc w:val="both"/>
      </w:pPr>
      <w:r>
        <w:rPr>
          <w:b/>
        </w:rPr>
        <w:t xml:space="preserve">(e) </w:t>
      </w:r>
      <w:r>
        <w:t>delegate ministerial / administrative powers (but not policy or discretionary decisions) to officers of the Company; and</w:t>
      </w:r>
    </w:p>
    <w:p>
      <w:pPr>
        <w:spacing w:before="40"/>
        <w:ind w:left="454"/>
        <w:jc w:val="both"/>
      </w:pPr>
      <w:r>
        <w:rPr>
          <w:b/>
        </w:rPr>
        <w:t xml:space="preserve">(f) </w:t>
      </w:r>
      <w:r>
        <w:t>take all other actions necessary or advisable for administration of the Plan.</w:t>
      </w:r>
    </w:p>
    <w:p>
      <w:pPr>
        <w:spacing w:before="80"/>
        <w:jc w:val="both"/>
      </w:pPr>
      <w:r>
        <w:rPr>
          <w:b/>
        </w:rPr>
        <w:t xml:space="preserve">5.2 </w:t>
      </w:r>
      <w:r>
        <w:rPr>
          <w:b/>
        </w:rPr>
        <w:t xml:space="preserve">Decisions Final. </w:t>
      </w:r>
      <w:r>
        <w:t>All decisions and determinations of the Administrator shall be final and binding on the Company and all Grantees, save in the case of manifest error or fraud.</w:t>
      </w:r>
    </w:p>
    <w:p>
      <w:pPr>
        <w:spacing w:before="240" w:after="80"/>
        <w:pBdr>
          <w:bottom w:val="single" w:sz="6" w:space="1" w:color="002060"/>
        </w:pBdr>
      </w:pPr>
      <w:r>
        <w:rPr>
          <w:b/>
          <w:color w:val="002060"/>
          <w:sz w:val="25"/>
        </w:rPr>
        <w:t>6.  GRANT OF OPTIONS</w:t>
      </w:r>
    </w:p>
    <w:p>
      <w:pPr>
        <w:spacing w:before="80"/>
        <w:jc w:val="both"/>
      </w:pPr>
      <w:r>
        <w:rPr>
          <w:b/>
        </w:rPr>
        <w:t xml:space="preserve">6.1 </w:t>
      </w:r>
      <w:r>
        <w:rPr>
          <w:b/>
        </w:rPr>
        <w:t xml:space="preserve">Grant Letter. </w:t>
      </w:r>
      <w:r>
        <w:t>Each Grant under the Plan shall be evidenced by a Grant Letter signed by an authorised officer of the Company and counter-signed by the Grantee. The Grant Letter shall specify, at a minimum: (i) the Grant Date; (ii) the number of Options granted; (iii) the Exercise Price; (iv) the Vesting Schedule and Cliff Period; (v) the Exercise Period; and (vi) any other terms specific to that Grant.</w:t>
      </w:r>
    </w:p>
    <w:p>
      <w:pPr>
        <w:spacing w:before="80"/>
        <w:jc w:val="both"/>
      </w:pPr>
      <w:r>
        <w:rPr>
          <w:b/>
        </w:rPr>
        <w:t xml:space="preserve">6.2 </w:t>
      </w:r>
      <w:r>
        <w:rPr>
          <w:b/>
        </w:rPr>
        <w:t xml:space="preserve">Acceptance. </w:t>
      </w:r>
      <w:r>
        <w:t>The Grantee shall accept the Grant by signing the Grant Letter within {{ACCEPTANCE_PERIOD_DAYS}} days of receipt thereof, failing which the Grant shall stand lapsed.</w:t>
      </w:r>
    </w:p>
    <w:p>
      <w:pPr>
        <w:spacing w:before="80"/>
        <w:jc w:val="both"/>
      </w:pPr>
      <w:r>
        <w:rPr>
          <w:b/>
        </w:rPr>
        <w:t xml:space="preserve">6.3 </w:t>
      </w:r>
      <w:r>
        <w:rPr>
          <w:b/>
        </w:rPr>
        <w:t xml:space="preserve">Non-transferable. </w:t>
      </w:r>
      <w:r>
        <w:t>Options are personal to the Grantee and shall not be transferred, pledged, hypothecated or otherwise alienated, except by way of testamentary disposition or under the laws of intestate succession upon death.</w:t>
      </w:r>
    </w:p>
    <w:p>
      <w:pPr>
        <w:spacing w:before="240" w:after="80"/>
        <w:pBdr>
          <w:bottom w:val="single" w:sz="6" w:space="1" w:color="002060"/>
        </w:pBdr>
      </w:pPr>
      <w:r>
        <w:rPr>
          <w:b/>
          <w:color w:val="002060"/>
          <w:sz w:val="25"/>
        </w:rPr>
        <w:t>7.  VESTING OF OPTIONS</w:t>
      </w:r>
    </w:p>
    <w:p>
      <w:pPr>
        <w:spacing w:before="80"/>
        <w:jc w:val="both"/>
      </w:pPr>
      <w:r>
        <w:rPr>
          <w:b/>
        </w:rPr>
        <w:t xml:space="preserve">7.1 </w:t>
      </w:r>
      <w:r>
        <w:rPr>
          <w:b/>
        </w:rPr>
        <w:t xml:space="preserve">Default Vesting Schedule. </w:t>
      </w:r>
      <w:r>
        <w:t>Unless otherwise specified in the Grant Letter, the Options shall Vest in accordance with the following schedule:</w:t>
      </w:r>
    </w:p>
    <w:p>
      <w:pPr>
        <w:spacing w:before="40"/>
        <w:ind w:left="454"/>
        <w:jc w:val="both"/>
      </w:pPr>
      <w:r>
        <w:rPr>
          <w:b/>
        </w:rPr>
        <w:t xml:space="preserve">(a) </w:t>
      </w:r>
      <w:r>
        <w:t>Cliff: No Options shall Vest until the first anniversary of the Grant Date (the “Cliff”), which Cliff shall not be less than one (1) year as mandated by Rule 12(6)(a) of the Rules;</w:t>
      </w:r>
    </w:p>
    <w:p>
      <w:pPr>
        <w:spacing w:before="40"/>
        <w:ind w:left="454"/>
        <w:jc w:val="both"/>
      </w:pPr>
      <w:r>
        <w:rPr>
          <w:b/>
        </w:rPr>
        <w:t xml:space="preserve">(b) </w:t>
      </w:r>
      <w:r>
        <w:t>Vesting after Cliff: On the first anniversary, {{CLIFF_VESTING_PERCENT}}% of the Options shall Vest. Thereafter, the balance Options shall Vest in equal {{VESTING_FREQUENCY}} tranches over the remaining {{POST_CLIFF_PERIOD_MONTHS}} months, such that 100% of the Options Vest by the end of the Vesting Period.</w:t>
      </w:r>
    </w:p>
    <w:p>
      <w:pPr>
        <w:spacing w:before="80"/>
        <w:jc w:val="both"/>
      </w:pPr>
      <w:r>
        <w:rPr>
          <w:b/>
        </w:rPr>
        <w:t xml:space="preserve">7.2 </w:t>
      </w:r>
      <w:r>
        <w:rPr>
          <w:b/>
        </w:rPr>
        <w:t xml:space="preserve">Continuous Service. </w:t>
      </w:r>
      <w:r>
        <w:t>Vesting is conditional upon the Grantee continuing to be in service as an Eligible Person on each Vesting Date. Any leave (other than statutorily protected leave) exceeding {{LEAVE_LIMIT_DAYS}} consecutive days shall extend the Vesting Period by an equivalent period, unless otherwise decided by the Administrator.</w:t>
      </w:r>
    </w:p>
    <w:p>
      <w:pPr>
        <w:spacing w:before="80"/>
        <w:jc w:val="both"/>
      </w:pPr>
      <w:r>
        <w:rPr>
          <w:b/>
        </w:rPr>
        <w:t xml:space="preserve">7.3 </w:t>
      </w:r>
      <w:r>
        <w:rPr>
          <w:b/>
        </w:rPr>
        <w:t xml:space="preserve">Performance-linked Vesting. </w:t>
      </w:r>
      <w:r>
        <w:t>The Administrator may, in its discretion, link Vesting (in whole or in part) to specific performance milestones. The performance criteria and methodology of measurement shall be set out in the Grant Letter.</w:t>
      </w:r>
    </w:p>
    <w:p>
      <w:pPr>
        <w:spacing w:before="80"/>
        <w:jc w:val="both"/>
      </w:pPr>
      <w:r>
        <w:rPr>
          <w:b/>
        </w:rPr>
        <w:t xml:space="preserve">7.4 </w:t>
      </w:r>
      <w:r>
        <w:rPr>
          <w:b/>
        </w:rPr>
        <w:t xml:space="preserve">Acceleration. </w:t>
      </w:r>
      <w:r>
        <w:t>The Administrator may, in its discretion, accelerate Vesting of all or any Options held by a Grantee on the occurrence of (a) a Change of Control; (b) Initial Public Offering; (c) Death or Permanent Disability of the Grantee; or (d) any other event the Administrator considers appropriate.</w:t>
      </w:r>
    </w:p>
    <w:p>
      <w:pPr>
        <w:spacing w:before="240" w:after="80"/>
        <w:pBdr>
          <w:bottom w:val="single" w:sz="6" w:space="1" w:color="002060"/>
        </w:pBdr>
      </w:pPr>
      <w:r>
        <w:rPr>
          <w:b/>
          <w:color w:val="002060"/>
          <w:sz w:val="25"/>
        </w:rPr>
        <w:t>8.  EXERCISE OF OPTIONS</w:t>
      </w:r>
    </w:p>
    <w:p>
      <w:pPr>
        <w:spacing w:before="80"/>
        <w:jc w:val="both"/>
      </w:pPr>
      <w:r>
        <w:rPr>
          <w:b/>
        </w:rPr>
        <w:t xml:space="preserve">8.1 </w:t>
      </w:r>
      <w:r>
        <w:rPr>
          <w:b/>
        </w:rPr>
        <w:t xml:space="preserve">Exercise Period. </w:t>
      </w:r>
      <w:r>
        <w:t>Vested Options may be exercised, in whole or in part, during the Exercise Period specified in the Grant Letter. The default Exercise Period shall be {{DEFAULT_EXERCISE_MONTHS}} months from the date of Vesting, subject to earlier termination as set out in Clause 9.</w:t>
      </w:r>
    </w:p>
    <w:p>
      <w:pPr>
        <w:spacing w:before="80"/>
        <w:jc w:val="both"/>
      </w:pPr>
      <w:r>
        <w:rPr>
          <w:b/>
        </w:rPr>
        <w:t xml:space="preserve">8.2 </w:t>
      </w:r>
      <w:r>
        <w:rPr>
          <w:b/>
        </w:rPr>
        <w:t xml:space="preserve">Exercise Price. </w:t>
      </w:r>
      <w:r>
        <w:t>The Exercise Price for each Option shall be as specified in the Grant Letter and shall be determined at the discretion of the Administrator. The Exercise Price may be the face value, the Fair Market Value, or any other price determined by the Administrator, subject to Applicable Law.</w:t>
      </w:r>
    </w:p>
    <w:p>
      <w:pPr>
        <w:spacing w:before="80"/>
        <w:jc w:val="both"/>
      </w:pPr>
      <w:r>
        <w:rPr>
          <w:b/>
        </w:rPr>
        <w:t xml:space="preserve">8.3 </w:t>
      </w:r>
      <w:r>
        <w:rPr>
          <w:b/>
        </w:rPr>
        <w:t xml:space="preserve">Exercise Notice. </w:t>
      </w:r>
      <w:r>
        <w:t>To Exercise Vested Options, the Grantee shall submit a duly completed Exercise Notice in the form prescribed by the Company, accompanied by full payment of the aggregate Exercise Price (in immediately available funds) and any applicable taxes / TDS.</w:t>
      </w:r>
    </w:p>
    <w:p>
      <w:pPr>
        <w:spacing w:before="80"/>
        <w:jc w:val="both"/>
      </w:pPr>
      <w:r>
        <w:rPr>
          <w:b/>
        </w:rPr>
        <w:t xml:space="preserve">8.4 </w:t>
      </w:r>
      <w:r>
        <w:rPr>
          <w:b/>
        </w:rPr>
        <w:t xml:space="preserve">Allotment. </w:t>
      </w:r>
      <w:r>
        <w:t>Upon receipt of a valid Exercise Notice and the aggregate Exercise Price, the Company shall, within {{ALLOTMENT_DAYS}} days, (a) allot the corresponding Shares to the Grantee; (b) update the Register of Members; and (c) issue a share certificate or, where applicable, credit the DEMAT account of the Grantee.</w:t>
      </w:r>
    </w:p>
    <w:p>
      <w:pPr>
        <w:spacing w:before="80"/>
        <w:jc w:val="both"/>
      </w:pPr>
      <w:r>
        <w:rPr>
          <w:b/>
        </w:rPr>
        <w:t xml:space="preserve">8.5 </w:t>
      </w:r>
      <w:r>
        <w:rPr>
          <w:b/>
        </w:rPr>
        <w:t xml:space="preserve">Cashless Exercise. </w:t>
      </w:r>
      <w:r>
        <w:t>The Administrator may, but shall not be obliged to, permit a cashless exercise mechanism (such as sale of a portion of the Shares to a third party to fund the Exercise Price and applicable taxes), subject to the Company’s policies and Applicable Law.</w:t>
      </w:r>
    </w:p>
    <w:p>
      <w:pPr>
        <w:spacing w:before="80"/>
        <w:jc w:val="both"/>
      </w:pPr>
      <w:r>
        <w:rPr>
          <w:b/>
        </w:rPr>
        <w:t xml:space="preserve">8.6 </w:t>
      </w:r>
      <w:r>
        <w:rPr>
          <w:b/>
        </w:rPr>
        <w:t xml:space="preserve">Tax Compliance. </w:t>
      </w:r>
      <w:r>
        <w:t>At the time of Exercise, the Grantee shall be liable to perquisite tax under Section 17(2)(vi) of the Income-tax Act, 1961 on the difference between the FMV on the Exercise Date and the Exercise Price. The Company shall be entitled to recover such tax / TDS from the Grantee, including by way of withholding from salary / Shares.</w:t>
      </w:r>
    </w:p>
    <w:p>
      <w:pPr>
        <w:spacing w:before="80"/>
        <w:jc w:val="both"/>
      </w:pPr>
      <w:r>
        <w:rPr>
          <w:b/>
        </w:rPr>
        <w:t xml:space="preserve">8.7 </w:t>
      </w:r>
      <w:r>
        <w:rPr>
          <w:b/>
        </w:rPr>
        <w:t xml:space="preserve">DPIIT Start-up Tax Deferral. </w:t>
      </w:r>
      <w:r>
        <w:t>Where the Company is recognised as an “eligible start-up” under Section 80-IAC of the Income-tax Act, 1961, the Grantee may avail the tax deferral benefit under Section 192(1C) of the Income-tax Act, 1961 (Finance Act, 2020), permitting TDS on the perquisite to be paid within fourteen (14) days from the earliest of (i) expiry of forty-eight (48) months from end of relevant AY; (ii) sale of shares; or (iii) date of ceasing to be an employee.</w:t>
      </w:r>
    </w:p>
    <w:p>
      <w:pPr>
        <w:spacing w:before="240" w:after="80"/>
        <w:pBdr>
          <w:bottom w:val="single" w:sz="6" w:space="1" w:color="002060"/>
        </w:pBdr>
      </w:pPr>
      <w:r>
        <w:rPr>
          <w:b/>
          <w:color w:val="002060"/>
          <w:sz w:val="25"/>
        </w:rPr>
        <w:t>9.  CESSATION OF EMPLOYMENT AND FORFEITURE</w:t>
      </w:r>
    </w:p>
    <w:p>
      <w:pPr>
        <w:spacing w:before="80"/>
        <w:jc w:val="both"/>
      </w:pPr>
      <w:r>
        <w:rPr>
          <w:b/>
        </w:rPr>
        <w:t xml:space="preserve">9.1 </w:t>
      </w:r>
      <w:r>
        <w:rPr>
          <w:b/>
        </w:rPr>
        <w:t xml:space="preserve">Unvested Options on Separation. </w:t>
      </w:r>
      <w:r>
        <w:t>Upon a Grantee ceasing to be an Eligible Person for any reason, all Unvested Options as on the date of cessation shall immediately and automatically lapse and stand forfeited, save in the case of acceleration under Clause 7.4.</w:t>
      </w:r>
    </w:p>
    <w:p>
      <w:pPr>
        <w:spacing w:before="80"/>
        <w:jc w:val="both"/>
      </w:pPr>
      <w:r>
        <w:rPr>
          <w:b/>
        </w:rPr>
        <w:t xml:space="preserve">9.2 </w:t>
      </w:r>
      <w:r>
        <w:rPr>
          <w:b/>
        </w:rPr>
        <w:t xml:space="preserve">Vested Options — Treatment by Reason of Cessation. </w:t>
      </w:r>
      <w:r>
        <w:t>Vested Options held by a Grantee at the date of cessation shall be dealt with as follows:</w:t>
      </w:r>
    </w:p>
    <w:p>
      <w:pPr>
        <w:spacing w:before="40"/>
        <w:ind w:left="454"/>
        <w:jc w:val="both"/>
      </w:pPr>
      <w:r>
        <w:rPr>
          <w:b/>
        </w:rPr>
        <w:t xml:space="preserve">9.2.1 </w:t>
      </w:r>
      <w:r>
        <w:t>Resignation in good standing: the Grantee shall have {{RESIGN_EXERCISE_MONTHS}} months from cessation to Exercise Vested Options, failing which they shall lapse.</w:t>
      </w:r>
    </w:p>
    <w:p>
      <w:pPr>
        <w:spacing w:before="40"/>
        <w:ind w:left="454"/>
        <w:jc w:val="both"/>
      </w:pPr>
      <w:r>
        <w:rPr>
          <w:b/>
        </w:rPr>
        <w:t xml:space="preserve">9.2.2 </w:t>
      </w:r>
      <w:r>
        <w:t>Termination by the Company without Cause: the Grantee shall have {{TERM_NO_CAUSE_EXERCISE_MONTHS}} months from cessation to Exercise.</w:t>
      </w:r>
    </w:p>
    <w:p>
      <w:pPr>
        <w:spacing w:before="40"/>
        <w:ind w:left="454"/>
        <w:jc w:val="both"/>
      </w:pPr>
      <w:r>
        <w:rPr>
          <w:b/>
        </w:rPr>
        <w:t xml:space="preserve">9.2.3 </w:t>
      </w:r>
      <w:r>
        <w:t>Termination for Cause: all Vested and Unvested Options shall stand forfeited with immediate effect.</w:t>
      </w:r>
    </w:p>
    <w:p>
      <w:pPr>
        <w:spacing w:before="40"/>
        <w:ind w:left="454"/>
        <w:jc w:val="both"/>
      </w:pPr>
      <w:r>
        <w:rPr>
          <w:b/>
        </w:rPr>
        <w:t xml:space="preserve">9.2.4 </w:t>
      </w:r>
      <w:r>
        <w:t>Death or Permanent Disability: all Unvested Options shall Vest immediately; all Vested Options may be Exercised within {{DEATH_EXERCISE_MONTHS}} months by the Grantee or his/her Permitted Transferee.</w:t>
      </w:r>
    </w:p>
    <w:p>
      <w:pPr>
        <w:spacing w:before="40"/>
        <w:ind w:left="454"/>
        <w:jc w:val="both"/>
      </w:pPr>
      <w:r>
        <w:rPr>
          <w:b/>
        </w:rPr>
        <w:t xml:space="preserve">9.2.5 </w:t>
      </w:r>
      <w:r>
        <w:t>Retirement (on attaining superannuation age per Company policy): Vested Options may be Exercised within {{RETIRE_EXERCISE_MONTHS}} months.</w:t>
      </w:r>
    </w:p>
    <w:p>
      <w:pPr>
        <w:spacing w:before="80"/>
        <w:jc w:val="both"/>
      </w:pPr>
      <w:r>
        <w:rPr>
          <w:b/>
        </w:rPr>
        <w:t xml:space="preserve">9.3 </w:t>
      </w:r>
      <w:r>
        <w:rPr>
          <w:b/>
        </w:rPr>
        <w:t xml:space="preserve">Cause. </w:t>
      </w:r>
      <w:r>
        <w:t>“Cause” shall include: (a) conviction for an offence involving moral turpitude or fraud; (b) gross misconduct, wilful negligence or dishonesty; (c) material breach of the Grantee’s employment / engagement obligations or of any Company policy (including Confidentiality, IP and Non-Compete obligations); (d) any act materially prejudicial to the interests or reputation of the Company; (e) repeated unauthorised absence; and (f) any other ground designated as “Cause” in the Grantee’s employment agreement.</w:t>
      </w:r>
    </w:p>
    <w:p>
      <w:pPr>
        <w:spacing w:before="80"/>
        <w:jc w:val="both"/>
      </w:pPr>
      <w:r>
        <w:rPr>
          <w:b/>
        </w:rPr>
        <w:t xml:space="preserve">9.4 </w:t>
      </w:r>
      <w:r>
        <w:rPr>
          <w:b/>
        </w:rPr>
        <w:t xml:space="preserve">Clawback. </w:t>
      </w:r>
      <w:r>
        <w:t>Notwithstanding anything to the contrary, in the event of fraud, wilful misconduct or material misstatement of financial results attributable to the Grantee, the Administrator may, by written notice, claw back (a) any unexercised Vested Options; and/or (b) any gains realised on Exercise within the preceding twenty-four (24) months. The Grantee shall, upon such notice, pay over such gains to the Company.</w:t>
      </w:r>
    </w:p>
    <w:p>
      <w:pPr>
        <w:spacing w:before="240" w:after="80"/>
        <w:pBdr>
          <w:bottom w:val="single" w:sz="6" w:space="1" w:color="002060"/>
        </w:pBdr>
      </w:pPr>
      <w:r>
        <w:rPr>
          <w:b/>
          <w:color w:val="002060"/>
          <w:sz w:val="25"/>
        </w:rPr>
        <w:t>10.  CHANGE OF CONTROL AND LIQUIDITY EVENTS</w:t>
      </w:r>
    </w:p>
    <w:p>
      <w:pPr>
        <w:spacing w:before="80"/>
        <w:jc w:val="both"/>
      </w:pPr>
      <w:r>
        <w:rPr>
          <w:b/>
        </w:rPr>
        <w:t xml:space="preserve">10.1 </w:t>
      </w:r>
      <w:r>
        <w:rPr>
          <w:b/>
        </w:rPr>
        <w:t xml:space="preserve">Change of Control. </w:t>
      </w:r>
      <w:r>
        <w:t>A “Change of Control” means: (a) the acquisition by any Person (or group of Persons acting in concert) of Control of the Company; (b) the sale of all or substantially all of the assets of the Company; (c) a merger, amalgamation or scheme of arrangement resulting in shareholders of the Company immediately prior to such event holding less than fifty percent (50%) of the surviving entity; or (d) such other event as the Administrator may determine.</w:t>
      </w:r>
    </w:p>
    <w:p>
      <w:pPr>
        <w:spacing w:before="80"/>
        <w:jc w:val="both"/>
      </w:pPr>
      <w:r>
        <w:rPr>
          <w:b/>
        </w:rPr>
        <w:t xml:space="preserve">10.2 </w:t>
      </w:r>
      <w:r>
        <w:rPr>
          <w:b/>
        </w:rPr>
        <w:t xml:space="preserve">Treatment on Change of Control. </w:t>
      </w:r>
      <w:r>
        <w:t>On a Change of Control, the Administrator may, in its discretion: (a) accelerate Vesting of all or some Options; (b) require Exercise of Vested Options within a stipulated period failing which they shall lapse; (c) cause the Options to be assumed or substituted by the acquirer; or (d) cancel Options in exchange for a cash payment equal to the in-the-money value (i.e., the difference between the consideration per share in the Change of Control and the Exercise Price).</w:t>
      </w:r>
    </w:p>
    <w:p>
      <w:pPr>
        <w:spacing w:before="80"/>
        <w:jc w:val="both"/>
      </w:pPr>
      <w:r>
        <w:rPr>
          <w:b/>
        </w:rPr>
        <w:t xml:space="preserve">10.3 </w:t>
      </w:r>
      <w:r>
        <w:rPr>
          <w:b/>
        </w:rPr>
        <w:t xml:space="preserve">Initial Public Offering. </w:t>
      </w:r>
      <w:r>
        <w:t>On an IPO, the Administrator may put in place a lock-in on Shares issued on Exercise, in accordance with the SEBI (Issue of Capital and Disclosure Requirements) Regulations, 2018 and the SEBI (Share Based Employee Benefits and Sweat Equity) Regulations, 2021.</w:t>
      </w:r>
    </w:p>
    <w:p>
      <w:pPr>
        <w:spacing w:before="240" w:after="80"/>
        <w:pBdr>
          <w:bottom w:val="single" w:sz="6" w:space="1" w:color="002060"/>
        </w:pBdr>
      </w:pPr>
      <w:r>
        <w:rPr>
          <w:b/>
          <w:color w:val="002060"/>
          <w:sz w:val="25"/>
        </w:rPr>
        <w:t>11.  SHARES ISSUED ON EXERCISE</w:t>
      </w:r>
    </w:p>
    <w:p>
      <w:pPr>
        <w:spacing w:before="80"/>
        <w:jc w:val="both"/>
      </w:pPr>
      <w:r>
        <w:rPr>
          <w:b/>
        </w:rPr>
        <w:t xml:space="preserve">11.1 </w:t>
      </w:r>
      <w:r>
        <w:rPr>
          <w:b/>
        </w:rPr>
        <w:t xml:space="preserve">Status of Shares. </w:t>
      </w:r>
      <w:r>
        <w:t>Shares issued upon Exercise shall be fully paid-up equity shares ranking pari passu in all respects with the existing equity shares of the Company.</w:t>
      </w:r>
    </w:p>
    <w:p>
      <w:pPr>
        <w:spacing w:before="80"/>
        <w:jc w:val="both"/>
      </w:pPr>
      <w:r>
        <w:rPr>
          <w:b/>
        </w:rPr>
        <w:t xml:space="preserve">11.2 </w:t>
      </w:r>
      <w:r>
        <w:rPr>
          <w:b/>
        </w:rPr>
        <w:t xml:space="preserve">Restrictions on Transfer. </w:t>
      </w:r>
      <w:r>
        <w:t>Until an IPO of the Company, the Shares issued upon Exercise shall be subject to:</w:t>
      </w:r>
    </w:p>
    <w:p>
      <w:pPr>
        <w:spacing w:before="40"/>
        <w:ind w:left="454"/>
        <w:jc w:val="both"/>
      </w:pPr>
      <w:r>
        <w:rPr>
          <w:b/>
        </w:rPr>
        <w:t xml:space="preserve">(a) </w:t>
      </w:r>
      <w:r>
        <w:t>the Articles of Association of the Company, including all transfer restrictions, drag-along, tag-along and right of first refusal provisions;</w:t>
      </w:r>
    </w:p>
    <w:p>
      <w:pPr>
        <w:spacing w:before="40"/>
        <w:ind w:left="454"/>
        <w:jc w:val="both"/>
      </w:pPr>
      <w:r>
        <w:rPr>
          <w:b/>
        </w:rPr>
        <w:t xml:space="preserve">(b) </w:t>
      </w:r>
      <w:r>
        <w:t>any Shareholders’ Agreement to which the Company is a party; and</w:t>
      </w:r>
    </w:p>
    <w:p>
      <w:pPr>
        <w:spacing w:before="40"/>
        <w:ind w:left="454"/>
        <w:jc w:val="both"/>
      </w:pPr>
      <w:r>
        <w:rPr>
          <w:b/>
        </w:rPr>
        <w:t xml:space="preserve">(c) </w:t>
      </w:r>
      <w:r>
        <w:t>any Insider Trading or Code of Conduct policy adopted by the Company.</w:t>
      </w:r>
    </w:p>
    <w:p>
      <w:pPr>
        <w:spacing w:before="80"/>
        <w:jc w:val="both"/>
      </w:pPr>
      <w:r>
        <w:rPr>
          <w:b/>
        </w:rPr>
        <w:t xml:space="preserve">11.3 </w:t>
      </w:r>
      <w:r>
        <w:rPr>
          <w:b/>
        </w:rPr>
        <w:t xml:space="preserve">Buy-back / Call by Company. </w:t>
      </w:r>
      <w:r>
        <w:t>On cessation of association with the Company, the Company shall have the right (but not the obligation) to buy back the Shares issued pursuant to Exercise at the price determined in accordance with the Articles, subject to compliance with Sections 68 to 70 of the Act.</w:t>
      </w:r>
    </w:p>
    <w:p>
      <w:pPr>
        <w:spacing w:before="80"/>
        <w:jc w:val="both"/>
      </w:pPr>
      <w:r>
        <w:rPr>
          <w:b/>
        </w:rPr>
        <w:t xml:space="preserve">11.4 </w:t>
      </w:r>
      <w:r>
        <w:rPr>
          <w:b/>
        </w:rPr>
        <w:t xml:space="preserve">No Shareholder Rights Prior to Allotment. </w:t>
      </w:r>
      <w:r>
        <w:t>Until Shares are allotted upon Exercise, the Grantee shall have no rights of a shareholder, including no right to dividend, voting or to attend general meetings, in respect of the Options.</w:t>
      </w:r>
    </w:p>
    <w:p>
      <w:pPr>
        <w:spacing w:before="240" w:after="80"/>
        <w:pBdr>
          <w:bottom w:val="single" w:sz="6" w:space="1" w:color="002060"/>
        </w:pBdr>
      </w:pPr>
      <w:r>
        <w:rPr>
          <w:b/>
          <w:color w:val="002060"/>
          <w:sz w:val="25"/>
        </w:rPr>
        <w:t>12.  COMPLIANCE AND DISCLOSURES</w:t>
      </w:r>
    </w:p>
    <w:p>
      <w:pPr>
        <w:spacing w:before="80"/>
        <w:jc w:val="both"/>
      </w:pPr>
      <w:r>
        <w:rPr>
          <w:b/>
        </w:rPr>
        <w:t xml:space="preserve">12.1 </w:t>
      </w:r>
      <w:r>
        <w:rPr>
          <w:b/>
        </w:rPr>
        <w:t xml:space="preserve">Statutory Filings. </w:t>
      </w:r>
      <w:r>
        <w:t>The Company shall comply with all filings required by Applicable Law, including:</w:t>
      </w:r>
    </w:p>
    <w:p>
      <w:pPr>
        <w:spacing w:before="40"/>
        <w:ind w:left="454"/>
        <w:jc w:val="both"/>
      </w:pPr>
      <w:r>
        <w:rPr>
          <w:b/>
        </w:rPr>
        <w:t xml:space="preserve">(a) </w:t>
      </w:r>
      <w:r>
        <w:t>filing of Form MGT-14 within thirty (30) days of the Special Resolution;</w:t>
      </w:r>
    </w:p>
    <w:p>
      <w:pPr>
        <w:spacing w:before="40"/>
        <w:ind w:left="454"/>
        <w:jc w:val="both"/>
      </w:pPr>
      <w:r>
        <w:rPr>
          <w:b/>
        </w:rPr>
        <w:t xml:space="preserve">(b) </w:t>
      </w:r>
      <w:r>
        <w:t>maintaining a Register of ESOPs in Form SH-6 under Rule 12(10) of the Rules at the registered office;</w:t>
      </w:r>
    </w:p>
    <w:p>
      <w:pPr>
        <w:spacing w:before="40"/>
        <w:ind w:left="454"/>
        <w:jc w:val="both"/>
      </w:pPr>
      <w:r>
        <w:rPr>
          <w:b/>
        </w:rPr>
        <w:t xml:space="preserve">(c) </w:t>
      </w:r>
      <w:r>
        <w:t>filing of Form PAS-3 within thirty (30) days of allotment upon Exercise;</w:t>
      </w:r>
    </w:p>
    <w:p>
      <w:pPr>
        <w:spacing w:before="40"/>
        <w:ind w:left="454"/>
        <w:jc w:val="both"/>
      </w:pPr>
      <w:r>
        <w:rPr>
          <w:b/>
        </w:rPr>
        <w:t xml:space="preserve">(d) </w:t>
      </w:r>
      <w:r>
        <w:t>disclosure in the Board’s Report under Rule 12(9) of the Rules of the options granted, vested, exercised, lapsed, etc.;</w:t>
      </w:r>
    </w:p>
    <w:p>
      <w:pPr>
        <w:spacing w:before="40"/>
        <w:ind w:left="454"/>
        <w:jc w:val="both"/>
      </w:pPr>
      <w:r>
        <w:rPr>
          <w:b/>
        </w:rPr>
        <w:t xml:space="preserve">(e) </w:t>
      </w:r>
      <w:r>
        <w:t>FEMA filings (Form FC-GPR, Form ESOP) where Shares are issued to non-resident Grantees, in accordance with the Foreign Exchange Management (Non-debt Instruments) Rules, 2019;</w:t>
      </w:r>
    </w:p>
    <w:p>
      <w:pPr>
        <w:spacing w:before="40"/>
        <w:ind w:left="454"/>
        <w:jc w:val="both"/>
      </w:pPr>
      <w:r>
        <w:rPr>
          <w:b/>
        </w:rPr>
        <w:t xml:space="preserve">(f) </w:t>
      </w:r>
      <w:r>
        <w:t>TDS compliance under Sections 192 / 192(1C) of the Income-tax Act, 1961.</w:t>
      </w:r>
    </w:p>
    <w:p>
      <w:pPr>
        <w:spacing w:before="80"/>
        <w:jc w:val="both"/>
      </w:pPr>
      <w:r>
        <w:rPr>
          <w:b/>
        </w:rPr>
        <w:t xml:space="preserve">12.2 </w:t>
      </w:r>
      <w:r>
        <w:rPr>
          <w:b/>
        </w:rPr>
        <w:t xml:space="preserve">Variation of the Plan. </w:t>
      </w:r>
      <w:r>
        <w:t>Variation of the terms of the Plan to the prejudice of existing Grantees shall require a Special Resolution of the shareholders of the Company in accordance with the proviso to Rule 12(5) of the Rules.</w:t>
      </w:r>
    </w:p>
    <w:p>
      <w:pPr>
        <w:spacing w:before="240" w:after="80"/>
        <w:pBdr>
          <w:bottom w:val="single" w:sz="6" w:space="1" w:color="002060"/>
        </w:pBdr>
      </w:pPr>
      <w:r>
        <w:rPr>
          <w:b/>
          <w:color w:val="002060"/>
          <w:sz w:val="25"/>
        </w:rPr>
        <w:t>13.  GOVERNING LAW AND DISPUTE RESOLUTION</w:t>
      </w:r>
    </w:p>
    <w:p>
      <w:pPr>
        <w:spacing w:before="80"/>
        <w:jc w:val="both"/>
      </w:pPr>
      <w:r>
        <w:rPr>
          <w:b/>
        </w:rPr>
        <w:t xml:space="preserve">13.1 </w:t>
      </w:r>
      <w:r>
        <w:rPr>
          <w:b/>
        </w:rPr>
        <w:t xml:space="preserve">Governing Law. </w:t>
      </w:r>
      <w:r>
        <w:t>The Plan shall be governed by and construed in accordance with the laws of the Republic of India.</w:t>
      </w:r>
    </w:p>
    <w:p>
      <w:pPr>
        <w:spacing w:before="80"/>
        <w:jc w:val="both"/>
      </w:pPr>
      <w:r>
        <w:rPr>
          <w:b/>
        </w:rPr>
        <w:t xml:space="preserve">13.2 </w:t>
      </w:r>
      <w:r>
        <w:rPr>
          <w:b/>
        </w:rPr>
        <w:t xml:space="preserve">Arbitration. </w:t>
      </w:r>
      <w:r>
        <w:t>Any dispute arising out of or in connection with the Plan or any Grant shall first be attempted to be resolved by amicable negotiation. If unresolved within {{NEGOTIATION_DAYS}} days, it shall be referred to arbitration under the Arbitration and Conciliation Act, 1996, by a sole arbitrator appointed by the Administrator. Seat and venue shall be {{ARBITRATION_SEAT_CITY}}; language English.</w:t>
      </w:r>
    </w:p>
    <w:p>
      <w:pPr>
        <w:spacing w:before="80"/>
        <w:jc w:val="both"/>
      </w:pPr>
      <w:r>
        <w:rPr>
          <w:b/>
        </w:rPr>
        <w:t xml:space="preserve">13.3 </w:t>
      </w:r>
      <w:r>
        <w:rPr>
          <w:b/>
        </w:rPr>
        <w:t xml:space="preserve">Jurisdiction. </w:t>
      </w:r>
      <w:r>
        <w:t>Subject to Clause 13.2, courts at {{JURISDICTION_CITY}} shall have exclusive jurisdiction.</w:t>
      </w:r>
    </w:p>
    <w:p>
      <w:pPr>
        <w:spacing w:before="240" w:after="80"/>
        <w:pBdr>
          <w:bottom w:val="single" w:sz="6" w:space="1" w:color="002060"/>
        </w:pBdr>
      </w:pPr>
      <w:r>
        <w:rPr>
          <w:b/>
          <w:color w:val="002060"/>
          <w:sz w:val="25"/>
        </w:rPr>
        <w:t>14.  GENERAL PROVISIONS</w:t>
      </w:r>
    </w:p>
    <w:p>
      <w:pPr>
        <w:spacing w:before="80"/>
        <w:jc w:val="both"/>
      </w:pPr>
      <w:r>
        <w:rPr>
          <w:b/>
        </w:rPr>
        <w:t xml:space="preserve">14.1 </w:t>
      </w:r>
      <w:r>
        <w:rPr>
          <w:b/>
        </w:rPr>
        <w:t xml:space="preserve">No Right to Employment. </w:t>
      </w:r>
      <w:r>
        <w:t>Nothing in the Plan or any Grant Letter shall confer on any Grantee any right to continued employment / engagement with the Company, nor shall it affect the right of the Company to terminate such employment / engagement at any time.</w:t>
      </w:r>
    </w:p>
    <w:p>
      <w:pPr>
        <w:spacing w:before="80"/>
        <w:jc w:val="both"/>
      </w:pPr>
      <w:r>
        <w:rPr>
          <w:b/>
        </w:rPr>
        <w:t xml:space="preserve">14.2 </w:t>
      </w:r>
      <w:r>
        <w:rPr>
          <w:b/>
        </w:rPr>
        <w:t xml:space="preserve">Confidentiality. </w:t>
      </w:r>
      <w:r>
        <w:t>The Grantee shall keep the terms of the Plan and Grant Letter strictly confidential.</w:t>
      </w:r>
    </w:p>
    <w:p>
      <w:pPr>
        <w:spacing w:before="80"/>
        <w:jc w:val="both"/>
      </w:pPr>
      <w:r>
        <w:rPr>
          <w:b/>
        </w:rPr>
        <w:t xml:space="preserve">14.3 </w:t>
      </w:r>
      <w:r>
        <w:rPr>
          <w:b/>
        </w:rPr>
        <w:t xml:space="preserve">Severability. </w:t>
      </w:r>
      <w:r>
        <w:t>If any provision of the Plan is held to be invalid or unenforceable, the remaining provisions shall continue in full force.</w:t>
      </w:r>
    </w:p>
    <w:p>
      <w:pPr>
        <w:spacing w:before="80"/>
        <w:jc w:val="both"/>
      </w:pPr>
      <w:r>
        <w:rPr>
          <w:b/>
        </w:rPr>
        <w:t xml:space="preserve">14.4 </w:t>
      </w:r>
      <w:r>
        <w:rPr>
          <w:b/>
        </w:rPr>
        <w:t xml:space="preserve">Amendment, Suspension and Termination. </w:t>
      </w:r>
      <w:r>
        <w:t>The Board may, at any time and from time to time, amend, suspend or terminate the Plan, provided that any amendment that adversely affects the rights of existing Grantees shall require the consent of such Grantees or be approved by Special Resolution.</w:t>
      </w:r>
    </w:p>
    <w:p>
      <w:pPr>
        <w:spacing w:before="80"/>
        <w:jc w:val="both"/>
      </w:pPr>
      <w:r>
        <w:rPr>
          <w:b/>
        </w:rPr>
        <w:t xml:space="preserve">14.5 </w:t>
      </w:r>
      <w:r>
        <w:rPr>
          <w:b/>
        </w:rPr>
        <w:t xml:space="preserve">Notices. </w:t>
      </w:r>
      <w:r>
        <w:t>All notices shall be delivered in writing, by hand, registered post, or email to the addresses on record.</w:t>
      </w:r>
    </w:p>
    <w:p>
      <w:r>
        <w:br w:type="page"/>
      </w:r>
    </w:p>
    <w:p>
      <w:pPr>
        <w:spacing w:before="240" w:after="80"/>
        <w:pBdr>
          <w:bottom w:val="single" w:sz="6" w:space="1" w:color="002060"/>
        </w:pBdr>
      </w:pPr>
      <w:r>
        <w:rPr>
          <w:b/>
          <w:color w:val="002060"/>
          <w:sz w:val="25"/>
        </w:rPr>
        <w:t>AUTHENTICATION</w:t>
      </w:r>
    </w:p>
    <w:p>
      <w:pPr>
        <w:jc w:val="both"/>
      </w:pPr>
      <w:r>
        <w:rPr>
          <w:b/>
          <w:i w:val="0"/>
        </w:rPr>
        <w:t>This {{PLAN_SHORT_NAME}} has been adopted by the Board of Directors on {{BOARD_APPROVAL_DATE}} and approved by the shareholders by way of a Special Resolution passed on {{SR_DATE}}.</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Pr>
        <w:jc w:val="both"/>
      </w:pPr>
      <w:r>
        <w:rPr>
          <w:b w:val="0"/>
          <w:i w:val="0"/>
        </w:rPr>
        <w:t>Certified True Copy</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A — SPECIAL RESOLUTION (TEXT)</w:t>
      </w:r>
    </w:p>
    <w:p>
      <w:pPr>
        <w:jc w:val="both"/>
      </w:pPr>
      <w:r>
        <w:rPr>
          <w:b w:val="0"/>
          <w:i w:val="0"/>
        </w:rPr>
        <w:t>“RESOLVED THAT pursuant to the provisions of Section 62(1)(b) of the Companies Act, 2013 read with Rule 12 of the Companies (Share Capital and Debentures) Rules, 2014, and other applicable provisions, if any, of the Act, the consent of the members of the Company be and is hereby accorded to the Board of Directors of the Company to introduce and implement the {{PLAN_SHORT_NAME}} (the “Plan”) under which Options exercisable into not more than {{TOTAL_OPTION_POOL}} equity shares of face value ₹ {{FACE_VALUE_INR}} each may be granted to eligible employees and directors of the Company (and its holding / subsidiary companies), on the terms set out in the Plan;</w:t>
      </w:r>
    </w:p>
    <w:p>
      <w:pPr>
        <w:jc w:val="both"/>
      </w:pPr>
      <w:r>
        <w:rPr>
          <w:b w:val="0"/>
          <w:i w:val="0"/>
        </w:rPr>
        <w:t>RESOLVED FURTHER THAT the Board be and is hereby authorised to do all such acts, deeds, matters and things as may be necessary, proper or expedient to give effect to this resolution.”</w:t>
      </w:r>
    </w:p>
    <w:p>
      <w:r>
        <w:br w:type="page"/>
      </w:r>
    </w:p>
    <w:p>
      <w:pPr>
        <w:spacing w:before="240" w:after="80"/>
        <w:pBdr>
          <w:bottom w:val="single" w:sz="6" w:space="1" w:color="002060"/>
        </w:pBdr>
      </w:pPr>
      <w:r>
        <w:rPr>
          <w:b/>
          <w:color w:val="002060"/>
          <w:sz w:val="25"/>
        </w:rPr>
        <w:t>SCHEDULE B — EXPLANATORY STATEMENT PARTICULARS (RULE 12(2))</w:t>
      </w:r>
    </w:p>
    <w:p>
      <w:pPr>
        <w:pStyle w:val="ListBullet"/>
        <w:spacing w:after="40"/>
        <w:ind w:left="567"/>
        <w:jc w:val="both"/>
      </w:pPr>
      <w:r>
        <w:t>Total number of stock options to be granted: {{TOTAL_OPTION_POOL}}.</w:t>
      </w:r>
    </w:p>
    <w:p>
      <w:pPr>
        <w:pStyle w:val="ListBullet"/>
        <w:spacing w:after="40"/>
        <w:ind w:left="567"/>
        <w:jc w:val="both"/>
      </w:pPr>
      <w:r>
        <w:t>Identification of classes of employees entitled to participate: as per Clause 3.1 of the Plan.</w:t>
      </w:r>
    </w:p>
    <w:p>
      <w:pPr>
        <w:pStyle w:val="ListBullet"/>
        <w:spacing w:after="40"/>
        <w:ind w:left="567"/>
        <w:jc w:val="both"/>
      </w:pPr>
      <w:r>
        <w:t>Appraisal process for determining eligibility: discretion of the Administrator, based on performance, role, criticality and tenure.</w:t>
      </w:r>
    </w:p>
    <w:p>
      <w:pPr>
        <w:pStyle w:val="ListBullet"/>
        <w:spacing w:after="40"/>
        <w:ind w:left="567"/>
        <w:jc w:val="both"/>
      </w:pPr>
      <w:r>
        <w:t>Requirements of vesting and period of vesting: as per Clause 7 of the Plan.</w:t>
      </w:r>
    </w:p>
    <w:p>
      <w:pPr>
        <w:pStyle w:val="ListBullet"/>
        <w:spacing w:after="40"/>
        <w:ind w:left="567"/>
        <w:jc w:val="both"/>
      </w:pPr>
      <w:r>
        <w:t>Maximum period within which the options shall be vested: {{DEFAULT_VESTING_MONTHS}} months.</w:t>
      </w:r>
    </w:p>
    <w:p>
      <w:pPr>
        <w:pStyle w:val="ListBullet"/>
        <w:spacing w:after="40"/>
        <w:ind w:left="567"/>
        <w:jc w:val="both"/>
      </w:pPr>
      <w:r>
        <w:t>Exercise price or pricing formula: {{EXERCISE_PRICE_BASIS}}.</w:t>
      </w:r>
    </w:p>
    <w:p>
      <w:pPr>
        <w:pStyle w:val="ListBullet"/>
        <w:spacing w:after="40"/>
        <w:ind w:left="567"/>
        <w:jc w:val="both"/>
      </w:pPr>
      <w:r>
        <w:t>Exercise period and process of exercise: as per Clause 8 of the Plan.</w:t>
      </w:r>
    </w:p>
    <w:p>
      <w:pPr>
        <w:pStyle w:val="ListBullet"/>
        <w:spacing w:after="40"/>
        <w:ind w:left="567"/>
        <w:jc w:val="both"/>
      </w:pPr>
      <w:r>
        <w:t>Lock-in period, if any: {{LOCK_IN_PERIOD}}.</w:t>
      </w:r>
    </w:p>
    <w:p>
      <w:pPr>
        <w:pStyle w:val="ListBullet"/>
        <w:spacing w:after="40"/>
        <w:ind w:left="567"/>
        <w:jc w:val="both"/>
      </w:pPr>
      <w:r>
        <w:t>Maximum number of options to be granted per employee and in aggregate: {{MAX_PER_EMPLOYEE_PERCENT}}% of issued capital per employee and {{TOTAL_OPTION_POOL}} in aggregate.</w:t>
      </w:r>
    </w:p>
    <w:p>
      <w:pPr>
        <w:pStyle w:val="ListBullet"/>
        <w:spacing w:after="40"/>
        <w:ind w:left="567"/>
        <w:jc w:val="both"/>
      </w:pPr>
      <w:r>
        <w:t>Method to value the options: {{OPTION_VALUATION_METHOD}} (e.g., Black-Scholes / Intrinsic Value).</w:t>
      </w:r>
    </w:p>
    <w:p>
      <w:pPr>
        <w:pStyle w:val="ListBullet"/>
        <w:spacing w:after="40"/>
        <w:ind w:left="567"/>
        <w:jc w:val="both"/>
      </w:pPr>
      <w:r>
        <w:t>Conditions under which option vested in employees may lapse e.g. in case of termination of employment for misconduct: as per Clause 9 of the Plan.</w:t>
      </w:r>
    </w:p>
    <w:p>
      <w:pPr>
        <w:pStyle w:val="ListBullet"/>
        <w:spacing w:after="40"/>
        <w:ind w:left="567"/>
        <w:jc w:val="both"/>
      </w:pPr>
      <w:r>
        <w:t>Specified time period within which the employee shall exercise the vested options in the event of a proposed termination of employment or resignation of employee: as per Clause 9.2 of the Plan.</w:t>
      </w:r>
    </w:p>
    <w:p>
      <w:pPr>
        <w:pStyle w:val="ListBullet"/>
        <w:spacing w:after="40"/>
        <w:ind w:left="567"/>
        <w:jc w:val="both"/>
      </w:pPr>
      <w:r>
        <w:t>Statement to the effect that the Company shall comply with the applicable Accounting Standards.</w:t>
      </w:r>
    </w:p>
    <w:p>
      <w:r>
        <w:br w:type="page"/>
      </w:r>
    </w:p>
    <w:p>
      <w:pPr>
        <w:spacing w:before="240" w:after="80"/>
        <w:pBdr>
          <w:bottom w:val="single" w:sz="6" w:space="1" w:color="002060"/>
        </w:pBdr>
      </w:pPr>
      <w:r>
        <w:rPr>
          <w:b/>
          <w:color w:val="002060"/>
          <w:sz w:val="25"/>
        </w:rPr>
        <w:t>SCHEDULE C — FORM OF GRANT LETTER</w:t>
      </w:r>
    </w:p>
    <w:p>
      <w:pPr>
        <w:jc w:val="both"/>
      </w:pPr>
      <w:r>
        <w:rPr>
          <w:b w:val="0"/>
          <w:i w:val="0"/>
        </w:rPr>
        <w:t>The Form of Grant Letter is annexed separately and forms an integral part of the Plan.</w:t>
      </w:r>
    </w:p>
    <w:p>
      <w:r>
        <w:br w:type="page"/>
      </w:r>
    </w:p>
    <w:p>
      <w:pPr>
        <w:spacing w:before="240" w:after="80"/>
        <w:pBdr>
          <w:bottom w:val="single" w:sz="6" w:space="1" w:color="002060"/>
        </w:pBdr>
      </w:pPr>
      <w:r>
        <w:rPr>
          <w:b/>
          <w:color w:val="002060"/>
          <w:sz w:val="25"/>
        </w:rPr>
        <w:t>SCHEDULE D — FORM OF EXERCISE NOTICE</w:t>
      </w:r>
    </w:p>
    <w:p>
      <w:pPr>
        <w:jc w:val="both"/>
      </w:pPr>
      <w:r>
        <w:rPr>
          <w:b w:val="0"/>
          <w:i w:val="0"/>
        </w:rPr>
        <w:t>The Form of Exercise Notice is annexed separately and forms an integral part of the Plan.</w:t>
      </w:r>
    </w:p>
    <w:p>
      <w:r>
        <w:br w:type="page"/>
      </w:r>
    </w:p>
    <w:p>
      <w:pPr>
        <w:spacing w:before="240" w:after="80"/>
        <w:pBdr>
          <w:bottom w:val="single" w:sz="6" w:space="1" w:color="002060"/>
        </w:pBdr>
      </w:pPr>
      <w:r>
        <w:rPr>
          <w:b/>
          <w:color w:val="002060"/>
          <w:sz w:val="25"/>
        </w:rPr>
        <w:t>DRAFTING / IMPLEMENTATION NOTES (REMOVE BEFORE CIRCULATION)</w:t>
      </w:r>
    </w:p>
    <w:p>
      <w:pPr>
        <w:pStyle w:val="ListBullet"/>
        <w:spacing w:after="40"/>
        <w:ind w:left="567"/>
        <w:jc w:val="both"/>
      </w:pPr>
      <w:r>
        <w:t>Plan must be approved by Special Resolution under Section 62(1)(b) of the Act + Rule 12. File Form MGT-14 within 30 days.</w:t>
      </w:r>
    </w:p>
    <w:p>
      <w:pPr>
        <w:pStyle w:val="ListBullet"/>
        <w:spacing w:after="40"/>
        <w:ind w:left="567"/>
        <w:jc w:val="both"/>
      </w:pPr>
      <w:r>
        <w:t>Minimum Vesting Period is one (1) year (Rule 12(6)(a)).</w:t>
      </w:r>
    </w:p>
    <w:p>
      <w:pPr>
        <w:pStyle w:val="ListBullet"/>
        <w:spacing w:after="40"/>
        <w:ind w:left="567"/>
        <w:jc w:val="both"/>
      </w:pPr>
      <w:r>
        <w:t>If options to be granted to identified employees, during any one year, equal or exceed 1% of the issued capital, a separate Special Resolution is required.</w:t>
      </w:r>
    </w:p>
    <w:p>
      <w:pPr>
        <w:pStyle w:val="ListBullet"/>
        <w:spacing w:after="40"/>
        <w:ind w:left="567"/>
        <w:jc w:val="both"/>
      </w:pPr>
      <w:r>
        <w:t>Allotment on Exercise: file Form PAS-3 within 30 days; update Register of Members and Form SH-6 (Register of ESOP).</w:t>
      </w:r>
    </w:p>
    <w:p>
      <w:pPr>
        <w:pStyle w:val="ListBullet"/>
        <w:spacing w:after="40"/>
        <w:ind w:left="567"/>
        <w:jc w:val="both"/>
      </w:pPr>
      <w:r>
        <w:t>Maintain Form SH-6 ESOP register at registered office (Rule 12(10)).</w:t>
      </w:r>
    </w:p>
    <w:p>
      <w:pPr>
        <w:pStyle w:val="ListBullet"/>
        <w:spacing w:after="40"/>
        <w:ind w:left="567"/>
        <w:jc w:val="both"/>
      </w:pPr>
      <w:r>
        <w:t>Disclosure in Board’s Report: number of options granted, vested, exercised, total shares arising on exercise, options lapsed, exercise price, variation in terms, money realised, details of employees who received &gt;5% options or whose grant equals/exceeds 1% of issued capital (Rule 12(9)).</w:t>
      </w:r>
    </w:p>
    <w:p>
      <w:pPr>
        <w:pStyle w:val="ListBullet"/>
        <w:spacing w:after="40"/>
        <w:ind w:left="567"/>
        <w:jc w:val="both"/>
      </w:pPr>
      <w:r>
        <w:t>For DPIIT-recognised start-ups, promoter/director with &gt;10% can be granted ESOPs for 10 years from incorporation.</w:t>
      </w:r>
    </w:p>
    <w:p>
      <w:pPr>
        <w:pStyle w:val="ListBullet"/>
        <w:spacing w:after="40"/>
        <w:ind w:left="567"/>
        <w:jc w:val="both"/>
      </w:pPr>
      <w:r>
        <w:t>TDS on Exercise: perquisite under Section 17(2)(vi); Section 192(1C) deferral for ‘eligible start-ups’ under Section 80-IAC.</w:t>
      </w:r>
    </w:p>
    <w:p>
      <w:pPr>
        <w:pStyle w:val="ListBullet"/>
        <w:spacing w:after="40"/>
        <w:ind w:left="567"/>
        <w:jc w:val="both"/>
      </w:pPr>
      <w:r>
        <w:t>For non-resident grantees: file Form ESOP under FEMA; pricing under FEMA NDI Rules, 2019.</w:t>
      </w:r>
    </w:p>
    <w:p>
      <w:pPr>
        <w:pStyle w:val="ListBullet"/>
        <w:spacing w:after="40"/>
        <w:ind w:left="567"/>
        <w:jc w:val="both"/>
      </w:pPr>
      <w:r>
        <w:t>If listed: SEBI (SBEB &amp; SE) Regulations, 2021 supersedes much of Rule 12; this template is drafted for unlisted private companies — adapt accordingly.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