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EQUITY SPLIT AGREEMENT</w:t>
      </w:r>
    </w:p>
    <w:p>
      <w:pPr>
        <w:spacing w:before="200" w:after="160"/>
        <w:jc w:val="center"/>
      </w:pPr>
      <w:r>
        <w:rPr>
          <w:b/>
          <w:color w:val="002060"/>
          <w:sz w:val="26"/>
        </w:rPr>
        <w:t>(Amongst Founders – India)</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INFORMATION</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Company Name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 (if incorporated)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{{COMPANY_REGISTERED_OFFICE}}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Effective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{{EFFECTIVE_DATE}}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Total Equity Allocated to Founders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{{TOTAL_FOUNDER_PERCENT}}%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Reserved ESOP Pool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{{ESOP_POOL_PERCENT}}%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Investor / Buffer Reserve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{{INVESTOR_BUFFER_PERCENT}}%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Governing Law</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Laws of the Republic of India</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Equity Split Agreement (the “Agreement”) is made and entered into BY AND AMONGST:</w:t>
      </w:r>
    </w:p>
    <w:p>
      <w:pPr>
        <w:jc w:val="both"/>
      </w:pPr>
      <w:r>
        <w:rPr>
          <w:b w:val="0"/>
          <w:i w:val="0"/>
        </w:rPr>
        <w:t>1.  {{FOUNDER_1_NAME}}, son/daughter of {{FOUNDER_1_PARENT_NAME}}, holding PAN {{FOUNDER_1_PAN}}, residing at {{FOUNDER_1_ADDRESS}} (“Founder 1”);</w:t>
      </w:r>
    </w:p>
    <w:p>
      <w:pPr>
        <w:jc w:val="both"/>
      </w:pPr>
      <w:r>
        <w:rPr>
          <w:b w:val="0"/>
          <w:i w:val="0"/>
        </w:rPr>
        <w:t>2.  {{FOUNDER_2_NAME}}, son/daughter of {{FOUNDER_2_PARENT_NAME}}, holding PAN {{FOUNDER_2_PAN}}, residing at {{FOUNDER_2_ADDRESS}} (“Founder 2”);</w:t>
      </w:r>
    </w:p>
    <w:p>
      <w:pPr>
        <w:jc w:val="both"/>
      </w:pPr>
      <w:r>
        <w:rPr>
          <w:b w:val="0"/>
          <w:i w:val="0"/>
        </w:rPr>
        <w:t>3.  {{FOUNDER_3_NAME}}, son/daughter of {{FOUNDER_3_PARENT_NAME}}, holding PAN {{FOUNDER_3_PAN}}, residing at {{FOUNDER_3_ADDRESS}} (“Founder 3”);</w:t>
      </w:r>
    </w:p>
    <w:p>
      <w:pPr>
        <w:jc w:val="both"/>
      </w:pPr>
      <w:r>
        <w:rPr>
          <w:b w:val="0"/>
          <w:i/>
          <w:sz w:val="18"/>
        </w:rPr>
        <w:t>[Delete or add Founder blocks as required.]</w:t>
      </w:r>
    </w:p>
    <w:p>
      <w:pPr>
        <w:jc w:val="both"/>
      </w:pPr>
      <w:r>
        <w:rPr>
          <w:b w:val="0"/>
          <w:i w:val="0"/>
        </w:rPr>
        <w:t>AND, where the Company is incorporated as on the Effective Date:</w:t>
      </w:r>
    </w:p>
    <w:p>
      <w:pPr>
        <w:jc w:val="both"/>
      </w:pPr>
      <w:r>
        <w:rPr>
          <w:b w:val="0"/>
          <w:i w:val="0"/>
        </w:rPr>
        <w:t>4.  {{COMPANY_NAME}}, a company incorporated under the Companies Act, 2013, CIN {{COMPANY_CIN}}, having its registered office at {{COMPANY_REGISTERED_OFFICE}} (the “Company”).</w:t>
      </w:r>
    </w:p>
    <w:p>
      <w:pPr>
        <w:jc w:val="both"/>
      </w:pPr>
      <w:r>
        <w:rPr>
          <w:b w:val="0"/>
          <w:i w:val="0"/>
        </w:rPr>
        <w:t>The Founders (and the Company, where applicable) are individually referred to as a “Party” and collectively as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Founders are co-founders of, or propose to co-found, the Business of {{BUSINESS_DESCRIPTION}} (the “Business”), to be carried on through the Company.</w:t>
      </w:r>
    </w:p>
    <w:p>
      <w:pPr>
        <w:spacing w:before="40"/>
        <w:ind w:left="454"/>
        <w:jc w:val="both"/>
      </w:pPr>
      <w:r>
        <w:rPr>
          <w:b/>
        </w:rPr>
        <w:t xml:space="preserve">B. </w:t>
      </w:r>
      <w:r>
        <w:t>The Founders have collaboratively assessed each Founder’s respective contribution to the Business — including idea origination, intellectual property contribution, capital contribution, time commitment, domain expertise, prior network, opportunity cost and operational responsibility — and have arrived at a mutually agreed split of equity shareholding in the Company.</w:t>
      </w:r>
    </w:p>
    <w:p>
      <w:pPr>
        <w:spacing w:before="40"/>
        <w:ind w:left="454"/>
        <w:jc w:val="both"/>
      </w:pPr>
      <w:r>
        <w:rPr>
          <w:b/>
        </w:rPr>
        <w:t xml:space="preserve">C. </w:t>
      </w:r>
      <w:r>
        <w:t>The Parties wish to record, in writing, the agreed equity split, the basis of such split, and the principles governing any future re-balancing of equity in a binding and enforceable manner.</w:t>
      </w:r>
    </w:p>
    <w:p>
      <w:pPr>
        <w:spacing w:before="40"/>
        <w:ind w:left="454"/>
        <w:jc w:val="both"/>
      </w:pPr>
      <w:r>
        <w:rPr>
          <w:b/>
        </w:rPr>
        <w:t xml:space="preserve">D. </w:t>
      </w:r>
      <w:r>
        <w:t>This Agreement is intended to be read with, and shall be supplemented by, the Founders’ Agreement and (where applicable) the Shareholders’ Agreement entered into amongst the Parties.</w:t>
      </w:r>
    </w:p>
    <w:p/>
    <w:p>
      <w:pPr>
        <w:jc w:val="both"/>
      </w:pPr>
      <w:r>
        <w:rPr>
          <w:b/>
          <w:i w:val="0"/>
        </w:rPr>
        <w:t>NOW, THEREFORE, in consideration of the mutual promises and covenants contained herein,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52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520"/>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the rules and regulations made thereunder.</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“Cap Table”</w:t>
            </w:r>
          </w:p>
        </w:tc>
        <w:tc>
          <w:tcPr>
            <w:tcW w:type="dxa" w:w="6520"/>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capitalisation table set out in Schedule 1, reflecting the agreed shareholding split.</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“Contribution Score”</w:t>
            </w:r>
          </w:p>
        </w:tc>
        <w:tc>
          <w:tcPr>
            <w:tcW w:type="dxa" w:w="6520"/>
            <w:tcBorders>
              <w:top w:val="single" w:sz="4" w:color="808080"/>
              <w:left w:val="single" w:sz="4" w:color="808080"/>
              <w:bottom w:val="single" w:sz="4" w:color="808080"/>
              <w:right w:val="single" w:sz="4" w:color="808080"/>
            </w:tcBorders>
            <w:vAlign w:val="center"/>
          </w:tcPr>
          <w:p>
            <w:pPr>
              <w:jc w:val="left"/>
            </w:pPr>
            <w:r/>
            <w:r>
              <w:rPr>
                <w:sz w:val="21"/>
              </w:rPr>
              <w:t>the relative weighting assigned to each Founder’s contribution as set out in Schedule 2.</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“ESOP Pool”</w:t>
            </w:r>
          </w:p>
        </w:tc>
        <w:tc>
          <w:tcPr>
            <w:tcW w:type="dxa" w:w="6520"/>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employee stock option pool of {{ESOP_POOL_PERCENT}}% of the fully diluted share capital, to be constituted in accordance with Section 62(1)(b) of the Act.</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“Fully Diluted Basis”</w:t>
            </w:r>
          </w:p>
        </w:tc>
        <w:tc>
          <w:tcPr>
            <w:tcW w:type="dxa" w:w="6520"/>
            <w:tcBorders>
              <w:top w:val="single" w:sz="4" w:color="808080"/>
              <w:left w:val="single" w:sz="4" w:color="808080"/>
              <w:bottom w:val="single" w:sz="4" w:color="808080"/>
              <w:right w:val="single" w:sz="4" w:color="808080"/>
            </w:tcBorders>
            <w:vAlign w:val="center"/>
          </w:tcPr>
          <w:p>
            <w:pPr>
              <w:jc w:val="left"/>
            </w:pPr>
            <w:r/>
            <w:r>
              <w:rPr>
                <w:sz w:val="21"/>
              </w:rPr>
              <w:t>the share capital of the Company calculated assuming the conversion of all outstanding convertible securities and the exercise of all granted and ungranted options under the ESOP Pool.</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“Re-balancing Event”</w:t>
            </w:r>
          </w:p>
        </w:tc>
        <w:tc>
          <w:tcPr>
            <w:tcW w:type="dxa" w:w="6520"/>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event listed in Clause 5.1 which triggers an adjustment to the equity split.</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“Vesting Schedule”</w:t>
            </w:r>
          </w:p>
        </w:tc>
        <w:tc>
          <w:tcPr>
            <w:tcW w:type="dxa" w:w="6520"/>
            <w:tcBorders>
              <w:top w:val="single" w:sz="4" w:color="808080"/>
              <w:left w:val="single" w:sz="4" w:color="808080"/>
              <w:bottom w:val="single" w:sz="4" w:color="808080"/>
              <w:right w:val="single" w:sz="4" w:color="808080"/>
            </w:tcBorders>
            <w:vAlign w:val="center"/>
          </w:tcPr>
          <w:p>
            <w:pPr>
              <w:jc w:val="left"/>
            </w:pPr>
            <w:r/>
            <w:r>
              <w:rPr>
                <w:sz w:val="21"/>
              </w:rPr>
              <w:t>the vesting schedule set out in the Founders’ Agreement, which shall govern all Founder Shares issued pursuant to this Agreement.</w:t>
            </w:r>
          </w:p>
        </w:tc>
      </w:tr>
    </w:tbl>
    <w:p/>
    <w:p>
      <w:pPr>
        <w:spacing w:before="240" w:after="80"/>
        <w:pBdr>
          <w:bottom w:val="single" w:sz="6" w:space="1" w:color="002060"/>
        </w:pBdr>
      </w:pPr>
      <w:r>
        <w:rPr>
          <w:b/>
          <w:color w:val="002060"/>
          <w:sz w:val="25"/>
        </w:rPr>
        <w:t>2.  AGREED EQUITY SPLIT</w:t>
      </w:r>
    </w:p>
    <w:p>
      <w:pPr>
        <w:spacing w:before="80"/>
        <w:jc w:val="both"/>
      </w:pPr>
      <w:r>
        <w:rPr>
          <w:b/>
        </w:rPr>
        <w:t xml:space="preserve">2.1 </w:t>
      </w:r>
      <w:r>
        <w:rPr>
          <w:b/>
        </w:rPr>
        <w:t xml:space="preserve">Agreed Split. </w:t>
      </w:r>
      <w:r>
        <w:t>The Founders hereby agree, confirm and record that the equity share capital of the Company shall be split amongst the Founders, the ESOP Pool and any reserved buffer in the manner set out in Schedule 1 (Capitalisation Table). The said split shall be given effect to by way of allotment of equity shares by the Company to each Founder, in accordance with Section 42, Section 62 and other applicable provisions of the Act.</w:t>
      </w:r>
    </w:p>
    <w:p>
      <w:pPr>
        <w:spacing w:before="80"/>
        <w:jc w:val="both"/>
      </w:pPr>
      <w:r>
        <w:rPr>
          <w:b/>
        </w:rPr>
        <w:t xml:space="preserve">2.2 </w:t>
      </w:r>
      <w:r>
        <w:rPr>
          <w:b/>
        </w:rPr>
        <w:t xml:space="preserve">Allotment. </w:t>
      </w:r>
      <w:r>
        <w:t>The Company shall, within {{ALLOTMENT_DAYS}} days from the Effective Date, allot the agreed number of equity shares to each Founder against payment of the subscription amount specified in Schedule 1. The Company shall file Form PAS-3 with the Registrar of Companies within thirty (30) days of allotment as required under Section 39(4) of the Act and Rule 12 of the Companies (Prospectus and Allotment of Securities) Rules, 2014.</w:t>
      </w:r>
    </w:p>
    <w:p>
      <w:pPr>
        <w:spacing w:before="80"/>
        <w:jc w:val="both"/>
      </w:pPr>
      <w:r>
        <w:rPr>
          <w:b/>
        </w:rPr>
        <w:t xml:space="preserve">2.3 </w:t>
      </w:r>
      <w:r>
        <w:rPr>
          <w:b/>
        </w:rPr>
        <w:t xml:space="preserve">Subscription Payment. </w:t>
      </w:r>
      <w:r>
        <w:t>Each Founder shall remit the subscription amount specified against his/her name in Schedule 1 to the Company’s bank account through banking channels within {{SUBSCRIPTION_PAYMENT_DAYS}} days from the Effective Date. No Founder shall be permitted to set off the subscription amount against any past dues or claims.</w:t>
      </w:r>
    </w:p>
    <w:p>
      <w:pPr>
        <w:spacing w:before="80"/>
        <w:jc w:val="both"/>
      </w:pPr>
      <w:r>
        <w:rPr>
          <w:b/>
        </w:rPr>
        <w:t xml:space="preserve">2.4 </w:t>
      </w:r>
      <w:r>
        <w:rPr>
          <w:b/>
        </w:rPr>
        <w:t xml:space="preserve">Reverse Vesting / Vesting. </w:t>
      </w:r>
      <w:r>
        <w:t>All Founder Shares allotted pursuant to this Agreement shall be subject to the reverse-vesting / repurchase mechanism and the Vesting Schedule set out in the Founders’ Agreement, and the Founders shall not be entitled to deal with such shares except in accordance therewith.</w:t>
      </w:r>
    </w:p>
    <w:p>
      <w:pPr>
        <w:spacing w:before="240" w:after="80"/>
        <w:pBdr>
          <w:bottom w:val="single" w:sz="6" w:space="1" w:color="002060"/>
        </w:pBdr>
      </w:pPr>
      <w:r>
        <w:rPr>
          <w:b/>
          <w:color w:val="002060"/>
          <w:sz w:val="25"/>
        </w:rPr>
        <w:t>3.  BASIS OF THE EQUITY SPLIT</w:t>
      </w:r>
    </w:p>
    <w:p>
      <w:pPr>
        <w:jc w:val="both"/>
      </w:pPr>
      <w:r>
        <w:rPr>
          <w:b w:val="0"/>
          <w:i w:val="0"/>
        </w:rPr>
        <w:t>The Founders have considered the following factors in arriving at the agreed equity split. The weightings and scores applied to each factor are set out in Schedule 2 (Contribution Matrix).</w:t>
      </w:r>
    </w:p>
    <w:p>
      <w:pPr>
        <w:pStyle w:val="ListBullet"/>
        <w:spacing w:after="40"/>
        <w:ind w:left="567"/>
        <w:jc w:val="both"/>
      </w:pPr>
      <w:r>
        <w:t>Idea &amp; Original Conceptualisation of the Business;</w:t>
      </w:r>
    </w:p>
    <w:p>
      <w:pPr>
        <w:pStyle w:val="ListBullet"/>
        <w:spacing w:after="40"/>
        <w:ind w:left="567"/>
        <w:jc w:val="both"/>
      </w:pPr>
      <w:r>
        <w:t>Capital Contribution (cash, assets, and infrastructure brought in by each Founder);</w:t>
      </w:r>
    </w:p>
    <w:p>
      <w:pPr>
        <w:pStyle w:val="ListBullet"/>
        <w:spacing w:after="40"/>
        <w:ind w:left="567"/>
        <w:jc w:val="both"/>
      </w:pPr>
      <w:r>
        <w:t>Pre-existing Intellectual Property contributed and assigned to the Company under the Founders’ Agreement;</w:t>
      </w:r>
    </w:p>
    <w:p>
      <w:pPr>
        <w:pStyle w:val="ListBullet"/>
        <w:spacing w:after="40"/>
        <w:ind w:left="567"/>
        <w:jc w:val="both"/>
      </w:pPr>
      <w:r>
        <w:t>Time Commitment (full-time vs part-time involvement; opportunity cost of leaving prior employment);</w:t>
      </w:r>
    </w:p>
    <w:p>
      <w:pPr>
        <w:pStyle w:val="ListBullet"/>
        <w:spacing w:after="40"/>
        <w:ind w:left="567"/>
        <w:jc w:val="both"/>
      </w:pPr>
      <w:r>
        <w:t>Domain Expertise and skills (technical, product, business, sales, marketing, legal, etc.);</w:t>
      </w:r>
    </w:p>
    <w:p>
      <w:pPr>
        <w:pStyle w:val="ListBullet"/>
        <w:spacing w:after="40"/>
        <w:ind w:left="567"/>
        <w:jc w:val="both"/>
      </w:pPr>
      <w:r>
        <w:t>Prior Network — investor relationships, customer pipeline, hiring network;</w:t>
      </w:r>
    </w:p>
    <w:p>
      <w:pPr>
        <w:pStyle w:val="ListBullet"/>
        <w:spacing w:after="40"/>
        <w:ind w:left="567"/>
        <w:jc w:val="both"/>
      </w:pPr>
      <w:r>
        <w:t>Risk Taken (financial, reputational, career risk borne by each Founder);</w:t>
      </w:r>
    </w:p>
    <w:p>
      <w:pPr>
        <w:pStyle w:val="ListBullet"/>
        <w:spacing w:after="40"/>
        <w:ind w:left="567"/>
        <w:jc w:val="both"/>
      </w:pPr>
      <w:r>
        <w:t>Role and seniority — including who serves as Chief Executive Officer (typically allocated a marginal premium);</w:t>
      </w:r>
    </w:p>
    <w:p>
      <w:pPr>
        <w:pStyle w:val="ListBullet"/>
        <w:spacing w:after="40"/>
        <w:ind w:left="567"/>
        <w:jc w:val="both"/>
      </w:pPr>
      <w:r>
        <w:t>Future Responsibility (ongoing operational ownership and accountability).</w:t>
      </w:r>
    </w:p>
    <w:p>
      <w:pPr>
        <w:spacing w:before="80"/>
        <w:jc w:val="both"/>
      </w:pPr>
      <w:r>
        <w:rPr>
          <w:b/>
        </w:rPr>
        <w:t xml:space="preserve">3.2 </w:t>
      </w:r>
      <w:r>
        <w:rPr>
          <w:b/>
        </w:rPr>
        <w:t xml:space="preserve">Acknowledgement. </w:t>
      </w:r>
      <w:r>
        <w:t>Each Founder acknowledges that the agreed equity split is the outcome of frank and arm’s length negotiations amongst the Founders, after due consideration of the factors above. No Founder shall, save in the case of fraud or wilful misrepresentation, dispute the split on the ground of inadequacy of consideration, mutual mistake, or otherwise.</w:t>
      </w:r>
    </w:p>
    <w:p>
      <w:pPr>
        <w:spacing w:before="240" w:after="80"/>
        <w:pBdr>
          <w:bottom w:val="single" w:sz="6" w:space="1" w:color="002060"/>
        </w:pBdr>
      </w:pPr>
      <w:r>
        <w:rPr>
          <w:b/>
          <w:color w:val="002060"/>
          <w:sz w:val="25"/>
        </w:rPr>
        <w:t>4.  UNDERTAKINGS OF THE FOUNDERS</w:t>
      </w:r>
    </w:p>
    <w:p>
      <w:pPr>
        <w:spacing w:before="80"/>
        <w:jc w:val="both"/>
      </w:pPr>
      <w:r>
        <w:rPr>
          <w:b/>
        </w:rPr>
        <w:t xml:space="preserve">4.1 </w:t>
      </w:r>
      <w:r>
        <w:rPr>
          <w:b/>
        </w:rPr>
        <w:t xml:space="preserve">Full Disclosure. </w:t>
      </w:r>
      <w:r>
        <w:t>Each Founder has, prior to the Effective Date, fully and accurately disclosed to the other Founders all material facts relating to his/her contribution, including pre-existing intellectual property, third-party obligations, prior commitments and conflicts of interest.</w:t>
      </w:r>
    </w:p>
    <w:p>
      <w:pPr>
        <w:spacing w:before="80"/>
        <w:jc w:val="both"/>
      </w:pPr>
      <w:r>
        <w:rPr>
          <w:b/>
        </w:rPr>
        <w:t xml:space="preserve">4.2 </w:t>
      </w:r>
      <w:r>
        <w:rPr>
          <w:b/>
        </w:rPr>
        <w:t xml:space="preserve">No Side Arrangements. </w:t>
      </w:r>
      <w:r>
        <w:t>No Founder has entered into any side agreement, understanding or arrangement with any other Founder or any third party that conflicts with or alters the agreed equity split set out in Schedule 1.</w:t>
      </w:r>
    </w:p>
    <w:p>
      <w:pPr>
        <w:spacing w:before="80"/>
        <w:jc w:val="both"/>
      </w:pPr>
      <w:r>
        <w:rPr>
          <w:b/>
        </w:rPr>
        <w:t xml:space="preserve">4.3 </w:t>
      </w:r>
      <w:r>
        <w:rPr>
          <w:b/>
        </w:rPr>
        <w:t xml:space="preserve">Cooperation. </w:t>
      </w:r>
      <w:r>
        <w:t>Each Founder shall execute all such documents, resolutions, share subscription forms, PAN/Aadhaar declarations, FEMA filings (if applicable), and statutory forms as may be necessary to give effect to this Agreement.</w:t>
      </w:r>
    </w:p>
    <w:p>
      <w:pPr>
        <w:spacing w:before="240" w:after="80"/>
        <w:pBdr>
          <w:bottom w:val="single" w:sz="6" w:space="1" w:color="002060"/>
        </w:pBdr>
      </w:pPr>
      <w:r>
        <w:rPr>
          <w:b/>
          <w:color w:val="002060"/>
          <w:sz w:val="25"/>
        </w:rPr>
        <w:t>5.  RE-BALANCING OF EQUITY</w:t>
      </w:r>
    </w:p>
    <w:p>
      <w:pPr>
        <w:spacing w:before="80"/>
        <w:jc w:val="both"/>
      </w:pPr>
      <w:r>
        <w:rPr>
          <w:b/>
        </w:rPr>
        <w:t xml:space="preserve">5.1 </w:t>
      </w:r>
      <w:r>
        <w:rPr>
          <w:b/>
        </w:rPr>
        <w:t xml:space="preserve">Re-balancing Events. </w:t>
      </w:r>
      <w:r>
        <w:t>The Founders acknowledge that, in certain circumstances, the agreed equity split may require adjustment. Subject to Clause 5.2, the following shall constitute Re-balancing Events:</w:t>
      </w:r>
    </w:p>
    <w:p>
      <w:pPr>
        <w:spacing w:before="40"/>
        <w:ind w:left="454"/>
        <w:jc w:val="both"/>
      </w:pPr>
      <w:r>
        <w:rPr>
          <w:b/>
        </w:rPr>
        <w:t xml:space="preserve">5.1.1 </w:t>
      </w:r>
      <w:r>
        <w:t>A Founder failing to commit the agreed minimum time / effort to the Business for a continuous period exceeding {{MIN_EFFORT_BREACH_MONTHS}} months without justification;</w:t>
      </w:r>
    </w:p>
    <w:p>
      <w:pPr>
        <w:spacing w:before="40"/>
        <w:ind w:left="454"/>
        <w:jc w:val="both"/>
      </w:pPr>
      <w:r>
        <w:rPr>
          <w:b/>
        </w:rPr>
        <w:t xml:space="preserve">5.1.2 </w:t>
      </w:r>
      <w:r>
        <w:t>Material non-fulfilment of an agreed contribution milestone set out in Schedule 3 (Contribution Milestones);</w:t>
      </w:r>
    </w:p>
    <w:p>
      <w:pPr>
        <w:spacing w:before="40"/>
        <w:ind w:left="454"/>
        <w:jc w:val="both"/>
      </w:pPr>
      <w:r>
        <w:rPr>
          <w:b/>
        </w:rPr>
        <w:t xml:space="preserve">5.1.3 </w:t>
      </w:r>
      <w:r>
        <w:t>A Founder departing the Company in circumstances qualifying as a “Bad Leaver” under the Founders’ Agreement;</w:t>
      </w:r>
    </w:p>
    <w:p>
      <w:pPr>
        <w:spacing w:before="40"/>
        <w:ind w:left="454"/>
        <w:jc w:val="both"/>
      </w:pPr>
      <w:r>
        <w:rPr>
          <w:b/>
        </w:rPr>
        <w:t xml:space="preserve">5.1.4 </w:t>
      </w:r>
      <w:r>
        <w:t>Material misrepresentation of contribution at the time of execution of this Agreement, discovered subsequently; or</w:t>
      </w:r>
    </w:p>
    <w:p>
      <w:pPr>
        <w:spacing w:before="40"/>
        <w:ind w:left="454"/>
        <w:jc w:val="both"/>
      </w:pPr>
      <w:r>
        <w:rPr>
          <w:b/>
        </w:rPr>
        <w:t xml:space="preserve">5.1.5 </w:t>
      </w:r>
      <w:r>
        <w:t>A new co-founder being inducted, requiring a fresh allocation.</w:t>
      </w:r>
    </w:p>
    <w:p>
      <w:pPr>
        <w:spacing w:before="80"/>
        <w:jc w:val="both"/>
      </w:pPr>
      <w:r>
        <w:rPr>
          <w:b/>
        </w:rPr>
        <w:t xml:space="preserve">5.2 </w:t>
      </w:r>
      <w:r>
        <w:rPr>
          <w:b/>
        </w:rPr>
        <w:t xml:space="preserve">Procedure for Re-balancing. </w:t>
      </w:r>
      <w:r>
        <w:t>Re-balancing shall be effected by way of: (i) transfer of shares from the affected Founder to the other Founders / the ESOP Pool at the price per share set out in the Founders’ Agreement (typically face value for Unvested Shares; Fair Market Value for Vested Shares of a Good Leaver); (ii) issuance of additional shares to the contributing Founder(s); or (iii) such other lawful mechanism as the Founders may unanimously agree, subject in each case to the Act and applicable foreign exchange regulations.</w:t>
      </w:r>
    </w:p>
    <w:p>
      <w:pPr>
        <w:spacing w:before="80"/>
        <w:jc w:val="both"/>
      </w:pPr>
      <w:r>
        <w:rPr>
          <w:b/>
        </w:rPr>
        <w:t xml:space="preserve">5.3 </w:t>
      </w:r>
      <w:r>
        <w:rPr>
          <w:b/>
        </w:rPr>
        <w:t xml:space="preserve">No Automatic Adjustment. </w:t>
      </w:r>
      <w:r>
        <w:t>Save as set out in the Founders’ Agreement (Vesting / Good Leaver / Bad Leaver clauses), no Re-balancing shall be automatic. Any Re-balancing shall require either (a) unanimous written consent of all Founders, or (b) determination by an Independent Expert appointed under Clause 5.4.</w:t>
      </w:r>
    </w:p>
    <w:p>
      <w:pPr>
        <w:spacing w:before="80"/>
        <w:jc w:val="both"/>
      </w:pPr>
      <w:r>
        <w:rPr>
          <w:b/>
        </w:rPr>
        <w:t xml:space="preserve">5.4 </w:t>
      </w:r>
      <w:r>
        <w:rPr>
          <w:b/>
        </w:rPr>
        <w:t xml:space="preserve">Independent Expert. </w:t>
      </w:r>
      <w:r>
        <w:t>If the Founders are unable to agree on a Re-balancing within {{REBALANCING_NEGOTIATION_DAYS}} days of a Re-balancing Event being notified, any Founder may refer the matter to an independent expert (being a chartered accountant or registered valuer of repute) appointed by mutual consent or, failing such consent, by the President of the Institute of Chartered Accountants of India. The expert shall act as an expert and not as an arbitrator and the decision shall be binding on the Parties.</w:t>
      </w:r>
    </w:p>
    <w:p>
      <w:pPr>
        <w:spacing w:before="240" w:after="80"/>
        <w:pBdr>
          <w:bottom w:val="single" w:sz="6" w:space="1" w:color="002060"/>
        </w:pBdr>
      </w:pPr>
      <w:r>
        <w:rPr>
          <w:b/>
          <w:color w:val="002060"/>
          <w:sz w:val="25"/>
        </w:rPr>
        <w:t>6.  RELATIONSHIP WITH OTHER AGREEMENTS</w:t>
      </w:r>
    </w:p>
    <w:p>
      <w:pPr>
        <w:spacing w:before="80"/>
        <w:jc w:val="both"/>
      </w:pPr>
      <w:r>
        <w:rPr>
          <w:b/>
        </w:rPr>
        <w:t xml:space="preserve">6.1 </w:t>
      </w:r>
      <w:r>
        <w:rPr>
          <w:b/>
        </w:rPr>
        <w:t xml:space="preserve">Founders’ Agreement. </w:t>
      </w:r>
      <w:r>
        <w:t>This Agreement shall be read in conjunction with the Founders’ Agreement dated {{FOUNDERS_AGREEMENT_DATE}} entered into amongst the Parties. In the event of any inconsistency in relation to the equity split or its re-balancing, the terms of this Agreement shall prevail.</w:t>
      </w:r>
    </w:p>
    <w:p>
      <w:pPr>
        <w:spacing w:before="80"/>
        <w:jc w:val="both"/>
      </w:pPr>
      <w:r>
        <w:rPr>
          <w:b/>
        </w:rPr>
        <w:t xml:space="preserve">6.2 </w:t>
      </w:r>
      <w:r>
        <w:rPr>
          <w:b/>
        </w:rPr>
        <w:t xml:space="preserve">Shareholders’ Agreement. </w:t>
      </w:r>
      <w:r>
        <w:t>Upon execution of a Shareholders’ Agreement with investors, the rights and obligations of the Parties under this Agreement shall continue to apply except to the extent of specific override expressly recorded in such Shareholders’ Agreement.</w:t>
      </w:r>
    </w:p>
    <w:p>
      <w:pPr>
        <w:spacing w:before="80"/>
        <w:jc w:val="both"/>
      </w:pPr>
      <w:r>
        <w:rPr>
          <w:b/>
        </w:rPr>
        <w:t xml:space="preserve">6.3 </w:t>
      </w:r>
      <w:r>
        <w:rPr>
          <w:b/>
        </w:rPr>
        <w:t xml:space="preserve">Memorandum and Articles. </w:t>
      </w:r>
      <w:r>
        <w:t>The Memorandum and Articles of Association of the Company shall be amended, to the extent required, to reflect and give effect to this Agreement.</w:t>
      </w:r>
    </w:p>
    <w:p>
      <w:pPr>
        <w:spacing w:before="240" w:after="80"/>
        <w:pBdr>
          <w:bottom w:val="single" w:sz="6" w:space="1" w:color="002060"/>
        </w:pBdr>
      </w:pPr>
      <w:r>
        <w:rPr>
          <w:b/>
          <w:color w:val="002060"/>
          <w:sz w:val="25"/>
        </w:rPr>
        <w:t>7.  CONFIDENTIALITY</w:t>
      </w:r>
    </w:p>
    <w:p>
      <w:pPr>
        <w:spacing w:before="80"/>
        <w:jc w:val="both"/>
      </w:pPr>
      <w:r>
        <w:rPr>
          <w:b/>
        </w:rPr>
        <w:t xml:space="preserve">7.1 </w:t>
      </w:r>
      <w:r>
        <w:rPr>
          <w:b/>
        </w:rPr>
        <w:t xml:space="preserve">Confidentiality. </w:t>
      </w:r>
      <w:r>
        <w:t>The contents of this Agreement, including the agreed equity split and the Contribution Matrix, are strictly confidential. No Party shall disclose the same to any third party except (a) to its professional advisors under obligations of confidentiality; (b) to actual or prospective investors under a duly executed NDA; or (c) as required by Applicable Law.</w:t>
      </w:r>
    </w:p>
    <w:p>
      <w:pPr>
        <w:spacing w:before="240" w:after="80"/>
        <w:pBdr>
          <w:bottom w:val="single" w:sz="6" w:space="1" w:color="002060"/>
        </w:pBdr>
      </w:pPr>
      <w:r>
        <w:rPr>
          <w:b/>
          <w:color w:val="002060"/>
          <w:sz w:val="25"/>
        </w:rPr>
        <w:t>8.  REPRESENTATIONS AND INDEMNITY</w:t>
      </w:r>
    </w:p>
    <w:p>
      <w:pPr>
        <w:spacing w:before="80"/>
        <w:jc w:val="both"/>
      </w:pPr>
      <w:r>
        <w:rPr>
          <w:b/>
        </w:rPr>
        <w:t xml:space="preserve">8.1 </w:t>
      </w:r>
      <w:r>
        <w:rPr>
          <w:b/>
        </w:rPr>
        <w:t xml:space="preserve">Founder Representations. </w:t>
      </w:r>
      <w:r>
        <w:t>Each Founder represents that he/she has full legal capacity and authority to execute this Agreement; the obligations hereunder are legal, valid and binding; and the execution and performance of this Agreement does not breach any third-party rights or Applicable Law.</w:t>
      </w:r>
    </w:p>
    <w:p>
      <w:pPr>
        <w:spacing w:before="80"/>
        <w:jc w:val="both"/>
      </w:pPr>
      <w:r>
        <w:rPr>
          <w:b/>
        </w:rPr>
        <w:t xml:space="preserve">8.2 </w:t>
      </w:r>
      <w:r>
        <w:rPr>
          <w:b/>
        </w:rPr>
        <w:t xml:space="preserve">Indemnity. </w:t>
      </w:r>
      <w:r>
        <w:t>Each Founder shall indemnify and hold harmless the other Founders and the Company from and against any losses arising out of (a) breach of representations or covenants by such Founder; or (b) any third-party claim arising from misrepresentation by such Founder of his/her contribution, prior IP, or third-party obligations.</w:t>
      </w:r>
    </w:p>
    <w:p>
      <w:pPr>
        <w:spacing w:before="240" w:after="80"/>
        <w:pBdr>
          <w:bottom w:val="single" w:sz="6" w:space="1" w:color="002060"/>
        </w:pBdr>
      </w:pPr>
      <w:r>
        <w:rPr>
          <w:b/>
          <w:color w:val="002060"/>
          <w:sz w:val="25"/>
        </w:rPr>
        <w:t>9.  GOVERNING LAW AND DISPUTE RESOLUTION</w:t>
      </w:r>
    </w:p>
    <w:p>
      <w:pPr>
        <w:spacing w:before="80"/>
        <w:jc w:val="both"/>
      </w:pPr>
      <w:r>
        <w:rPr>
          <w:b/>
        </w:rPr>
        <w:t xml:space="preserve">9.1 </w:t>
      </w:r>
      <w:r>
        <w:rPr>
          <w:b/>
        </w:rPr>
        <w:t xml:space="preserve">Governing Law. </w:t>
      </w:r>
      <w:r>
        <w:t>This Agreement shall be governed by, and construed in accordance with, the laws of the Republic of India.</w:t>
      </w:r>
    </w:p>
    <w:p>
      <w:pPr>
        <w:spacing w:before="80"/>
        <w:jc w:val="both"/>
      </w:pPr>
      <w:r>
        <w:rPr>
          <w:b/>
        </w:rPr>
        <w:t xml:space="preserve">9.2 </w:t>
      </w:r>
      <w:r>
        <w:rPr>
          <w:b/>
        </w:rPr>
        <w:t xml:space="preserve">Arbitration. </w:t>
      </w:r>
      <w:r>
        <w:t>Any dispute arising out of or in connection with this Agreement, which is not resolved by amicable negotiation within {{NEGOTIATION_DAYS}} days, shall be referred to and finally resolved by arbitration under the Arbitration and Conciliation Act, 1996. The tribunal shall consist of {{ARBITRATOR_NUMBER}} arbitrator(s); seat and venue shall be {{ARBITRATION_SEAT_CITY}}, India; and the language shall be English.</w:t>
      </w:r>
    </w:p>
    <w:p>
      <w:pPr>
        <w:spacing w:before="80"/>
        <w:jc w:val="both"/>
      </w:pPr>
      <w:r>
        <w:rPr>
          <w:b/>
        </w:rPr>
        <w:t xml:space="preserve">9.3 </w:t>
      </w:r>
      <w:r>
        <w:rPr>
          <w:b/>
        </w:rPr>
        <w:t xml:space="preserve">Jurisdiction. </w:t>
      </w:r>
      <w:r>
        <w:t>Subject to Clause 9.2, the courts at {{JURISDICTION_CITY}}, India shall have exclusive jurisdiction.</w:t>
      </w:r>
    </w:p>
    <w:p>
      <w:pPr>
        <w:spacing w:before="240" w:after="80"/>
        <w:pBdr>
          <w:bottom w:val="single" w:sz="6" w:space="1" w:color="002060"/>
        </w:pBdr>
      </w:pPr>
      <w:r>
        <w:rPr>
          <w:b/>
          <w:color w:val="002060"/>
          <w:sz w:val="25"/>
        </w:rPr>
        <w:t>10.  MISCELLANEOUS</w:t>
      </w:r>
    </w:p>
    <w:p>
      <w:pPr>
        <w:spacing w:before="80"/>
        <w:jc w:val="both"/>
      </w:pPr>
      <w:r>
        <w:rPr>
          <w:b/>
        </w:rPr>
        <w:t xml:space="preserve">10.1 </w:t>
      </w:r>
      <w:r>
        <w:rPr>
          <w:b/>
        </w:rPr>
        <w:t xml:space="preserve">Entire Agreement. </w:t>
      </w:r>
      <w:r>
        <w:t>This Agreement, together with the Schedules and the Founders’ Agreement, constitutes the entire agreement between the Parties on the subject matter hereof.</w:t>
      </w:r>
    </w:p>
    <w:p>
      <w:pPr>
        <w:spacing w:before="80"/>
        <w:jc w:val="both"/>
      </w:pPr>
      <w:r>
        <w:rPr>
          <w:b/>
        </w:rPr>
        <w:t xml:space="preserve">10.2 </w:t>
      </w:r>
      <w:r>
        <w:rPr>
          <w:b/>
        </w:rPr>
        <w:t xml:space="preserve">Amendment. </w:t>
      </w:r>
      <w:r>
        <w:t>Any amendment shall be effective only if made in writing and signed by all Parties.</w:t>
      </w:r>
    </w:p>
    <w:p>
      <w:pPr>
        <w:spacing w:before="80"/>
        <w:jc w:val="both"/>
      </w:pPr>
      <w:r>
        <w:rPr>
          <w:b/>
        </w:rPr>
        <w:t xml:space="preserve">10.3 </w:t>
      </w:r>
      <w:r>
        <w:rPr>
          <w:b/>
        </w:rPr>
        <w:t xml:space="preserve">Counterparts &amp; Electronic Signatures. </w:t>
      </w:r>
      <w:r>
        <w:t>This Agreement may be executed in counterparts and may be signed electronically in compliance with the Information Technology Act, 2000.</w:t>
      </w:r>
    </w:p>
    <w:p>
      <w:pPr>
        <w:spacing w:before="80"/>
        <w:jc w:val="both"/>
      </w:pPr>
      <w:r>
        <w:rPr>
          <w:b/>
        </w:rPr>
        <w:t xml:space="preserve">10.4 </w:t>
      </w:r>
      <w:r>
        <w:rPr>
          <w:b/>
        </w:rPr>
        <w:t xml:space="preserve">Stamp Duty. </w:t>
      </w:r>
      <w:r>
        <w:t>This Agreement shall be duly stamped under the Indian Stamp Act, 1899 or the applicable State Stamp Act of {{STAMP_DUTY_STATE}}.</w:t>
      </w:r>
    </w:p>
    <w:p>
      <w:pPr>
        <w:spacing w:before="80"/>
        <w:jc w:val="both"/>
      </w:pPr>
      <w:r>
        <w:rPr>
          <w:b/>
        </w:rPr>
        <w:t xml:space="preserve">10.5 </w:t>
      </w:r>
      <w:r>
        <w:rPr>
          <w:b/>
        </w:rPr>
        <w:t xml:space="preserve">Severability. </w:t>
      </w:r>
      <w:r>
        <w:t>If any provision is held invalid or unenforceable, the remainder shall not be affected.</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Equity Split Agreement on the day, month and year first hereinabove written.</w:t>
      </w:r>
    </w:p>
    <w:p/>
    <w:p>
      <w:pPr>
        <w:spacing w:before="360"/>
      </w:pPr>
      <w:r>
        <w:rPr>
          <w:b/>
          <w:sz w:val="22"/>
        </w:rPr>
        <w:t>For and on behalf of FOUNDER 1</w:t>
      </w:r>
    </w:p>
    <w:p/>
    <w:p>
      <w:r>
        <w:t>_________________________________</w:t>
      </w:r>
    </w:p>
    <w:p>
      <w:r>
        <w:rPr>
          <w:b/>
        </w:rPr>
        <w:t>Name: {{FOUNDER_1_NAME}}</w:t>
      </w:r>
    </w:p>
    <w:p>
      <w:r>
        <w:t>Designation: {{FOUNDER_1_DESIGNATION}}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2</w:t>
      </w:r>
    </w:p>
    <w:p/>
    <w:p>
      <w:r>
        <w:t>_________________________________</w:t>
      </w:r>
    </w:p>
    <w:p>
      <w:r>
        <w:rPr>
          <w:b/>
        </w:rPr>
        <w:t>Name: {{FOUNDER_2_NAME}}</w:t>
      </w:r>
    </w:p>
    <w:p>
      <w:r>
        <w:t>Designation: {{FOUNDER_2_DESIGNATION}}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3</w:t>
      </w:r>
    </w:p>
    <w:p/>
    <w:p>
      <w:r>
        <w:t>_________________________________</w:t>
      </w:r>
    </w:p>
    <w:p>
      <w:r>
        <w:rPr>
          <w:b/>
        </w:rPr>
        <w:t>Name: {{FOUNDER_3_NAME}}</w:t>
      </w:r>
    </w:p>
    <w:p>
      <w:r>
        <w:t>Designation: {{FOUNDER_3_DESIGNATION}}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CAPITALISATION TABLE (POST-ALLOTMENT)</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Shareholder</w:t>
            </w:r>
          </w:p>
        </w:tc>
        <w:tc>
          <w:tcPr>
            <w:tcW w:type="dxa" w:w="136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Shares Allotted</w:t>
            </w:r>
          </w:p>
        </w:tc>
        <w:tc>
          <w:tcPr>
            <w:tcW w:type="dxa" w:w="124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Face Value (₹)</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Subscription (₹)</w:t>
            </w:r>
          </w:p>
        </w:tc>
        <w:tc>
          <w:tcPr>
            <w:tcW w:type="dxa" w:w="136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Issue Price (₹)</w:t>
            </w:r>
          </w:p>
        </w:tc>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{{FOUNDER_1_SHARES}}</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{{FACE_VALUE_INR}}</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{{FOUNDER_1_SUBSCRIPTION_AMOUNT}}</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{{FOUNDER_1_ISSUE_PRICE}}</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{{FOUNDER_1_PERCENT}}%</w:t>
            </w:r>
          </w:p>
        </w:tc>
      </w:tr>
      <w:tr>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{{FOUNDER_2_SHARES}}</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{{FACE_VALUE_INR}}</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{{FOUNDER_2_SUBSCRIPTION_AMOUNT}}</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{{FOUNDER_2_ISSUE_PRICE}}</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{{FOUNDER_2_PERCENT}}%</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{{FOUNDER_3_SHARES}}</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{{FACE_VALUE_INR}}</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{{FOUNDER_3_SUBSCRIPTION_AMOUNT}}</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{{FOUNDER_3_ISSUE_PRICE}}</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{{FOUNDER_3_PERCENT}}%</w:t>
            </w:r>
          </w:p>
        </w:tc>
      </w:tr>
      <w:tr>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ESOP Pool (reserved)</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{{ESOP_POOL_SHARES}}</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{{ESOP_POOL_PERCENT}}%</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Investor / Buffer</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{{INVESTOR_BUFFER_SHARES}}</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{{INVESTOR_BUFFER_PERCENT}}%</w:t>
            </w:r>
          </w:p>
        </w:tc>
      </w:tr>
      <w:tr>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{{TOTAL_SHARES}}</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{{TOTAL_SUBSCRIPTION}}</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w:t>
            </w:r>
          </w:p>
        </w:tc>
      </w:tr>
    </w:tbl>
    <w:p/>
    <w:p>
      <w:r>
        <w:br w:type="page"/>
      </w:r>
    </w:p>
    <w:p>
      <w:pPr>
        <w:spacing w:before="240" w:after="80"/>
        <w:pBdr>
          <w:bottom w:val="single" w:sz="6" w:space="1" w:color="002060"/>
        </w:pBdr>
      </w:pPr>
      <w:r>
        <w:rPr>
          <w:b/>
          <w:color w:val="002060"/>
          <w:sz w:val="25"/>
        </w:rPr>
        <w:t>SCHEDULE 2 — CONTRIBUTION MATRIX</w:t>
      </w:r>
    </w:p>
    <w:p>
      <w:pPr>
        <w:jc w:val="both"/>
      </w:pPr>
      <w:r>
        <w:rPr>
          <w:b w:val="0"/>
          <w:i w:val="0"/>
        </w:rPr>
        <w:t>Weighting applied to each factor (must total 100%); each Founder’s score on a scale of 0 to 10. The weighted score determines the basis of the agreed split.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328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Contribution Factor</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Weight (%)</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{{FOUNDER_1_SHORT_NAME}}</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{{FOUNDER_2_SHORT_NAME}}</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{{FOUNDER_3_SHORT_NAME}}</w:t>
            </w:r>
          </w:p>
        </w:tc>
      </w:tr>
      <w:tr>
        <w:tc>
          <w:tcPr>
            <w:tcW w:type="dxa" w:w="3288"/>
            <w:tcBorders>
              <w:top w:val="single" w:sz="4" w:color="808080"/>
              <w:left w:val="single" w:sz="4" w:color="808080"/>
              <w:bottom w:val="single" w:sz="4" w:color="808080"/>
              <w:right w:val="single" w:sz="4" w:color="808080"/>
            </w:tcBorders>
            <w:vAlign w:val="center"/>
          </w:tcPr>
          <w:p>
            <w:pPr>
              <w:jc w:val="left"/>
            </w:pPr>
            <w:r/>
            <w:r>
              <w:rPr>
                <w:b/>
                <w:sz w:val="21"/>
              </w:rPr>
              <w:t>Idea / Original Conceptualisation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{{W_IDEA}}</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{{F1_IDEA}}</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{{F2_IDEA}}</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{{F3_IDEA}}</w:t>
            </w:r>
          </w:p>
        </w:tc>
      </w:tr>
      <w:tr>
        <w:tc>
          <w:tcPr>
            <w:tcW w:type="dxa" w:w="328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Capital Contribution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{{W_CAPITAL}}</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{{F1_CAPITAL}}</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{{F2_CAPITAL}}</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{{F3_CAPITAL}}</w:t>
            </w:r>
          </w:p>
        </w:tc>
      </w:tr>
      <w:tr>
        <w:tc>
          <w:tcPr>
            <w:tcW w:type="dxa" w:w="3288"/>
            <w:tcBorders>
              <w:top w:val="single" w:sz="4" w:color="808080"/>
              <w:left w:val="single" w:sz="4" w:color="808080"/>
              <w:bottom w:val="single" w:sz="4" w:color="808080"/>
              <w:right w:val="single" w:sz="4" w:color="808080"/>
            </w:tcBorders>
            <w:vAlign w:val="center"/>
          </w:tcPr>
          <w:p>
            <w:pPr>
              <w:jc w:val="left"/>
            </w:pPr>
            <w:r/>
            <w:r>
              <w:rPr>
                <w:b/>
                <w:sz w:val="21"/>
              </w:rPr>
              <w:t>Pre-existing IP Contributed</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{{W_IP}}</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{{F1_IP}}</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{{F2_IP}}</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{{F3_IP}}</w:t>
            </w:r>
          </w:p>
        </w:tc>
      </w:tr>
      <w:tr>
        <w:tc>
          <w:tcPr>
            <w:tcW w:type="dxa" w:w="328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Time Commitment / Opportunity Cost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{{W_TIME}}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{{F1_TIME}}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{{F2_TIME}}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{{F3_TIME}}</w:t>
            </w:r>
          </w:p>
        </w:tc>
      </w:tr>
      <w:tr>
        <w:tc>
          <w:tcPr>
            <w:tcW w:type="dxa" w:w="3288"/>
            <w:tcBorders>
              <w:top w:val="single" w:sz="4" w:color="808080"/>
              <w:left w:val="single" w:sz="4" w:color="808080"/>
              <w:bottom w:val="single" w:sz="4" w:color="808080"/>
              <w:right w:val="single" w:sz="4" w:color="808080"/>
            </w:tcBorders>
            <w:vAlign w:val="center"/>
          </w:tcPr>
          <w:p>
            <w:pPr>
              <w:jc w:val="left"/>
            </w:pPr>
            <w:r/>
            <w:r>
              <w:rPr>
                <w:b/>
                <w:sz w:val="21"/>
              </w:rPr>
              <w:t>Domain Expertise &amp; Skills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{{W_EXPERTISE}}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{{F1_EXPERTISE}}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{{F2_EXPERTISE}}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{{F3_EXPERTISE}}</w:t>
            </w:r>
          </w:p>
        </w:tc>
      </w:tr>
      <w:tr>
        <w:tc>
          <w:tcPr>
            <w:tcW w:type="dxa" w:w="328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Network (Investors / Customers / Talent)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{{W_NETWORK}}</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{{F1_NETWORK}}</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{{F2_NETWORK}}</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{{F3_NETWORK}}</w:t>
            </w:r>
          </w:p>
        </w:tc>
      </w:tr>
      <w:tr>
        <w:tc>
          <w:tcPr>
            <w:tcW w:type="dxa" w:w="3288"/>
            <w:tcBorders>
              <w:top w:val="single" w:sz="4" w:color="808080"/>
              <w:left w:val="single" w:sz="4" w:color="808080"/>
              <w:bottom w:val="single" w:sz="4" w:color="808080"/>
              <w:right w:val="single" w:sz="4" w:color="808080"/>
            </w:tcBorders>
            <w:vAlign w:val="center"/>
          </w:tcPr>
          <w:p>
            <w:pPr>
              <w:jc w:val="left"/>
            </w:pPr>
            <w:r/>
            <w:r>
              <w:rPr>
                <w:b/>
                <w:sz w:val="21"/>
              </w:rPr>
              <w:t>Risk Taken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{{W_RISK}}</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{{F1_RISK}}</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{{F2_RISK}}</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{{F3_RISK}}</w:t>
            </w:r>
          </w:p>
        </w:tc>
      </w:tr>
      <w:tr>
        <w:tc>
          <w:tcPr>
            <w:tcW w:type="dxa" w:w="328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Ongoing Role &amp; Responsibility</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{{W_ROLE}}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{{F1_ROLE}}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{{F2_ROLE}}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{{F3_ROLE}}</w:t>
            </w:r>
          </w:p>
        </w:tc>
      </w:tr>
      <w:tr>
        <w:tc>
          <w:tcPr>
            <w:tcW w:type="dxa" w:w="3288"/>
            <w:tcBorders>
              <w:top w:val="single" w:sz="4" w:color="808080"/>
              <w:left w:val="single" w:sz="4" w:color="808080"/>
              <w:bottom w:val="single" w:sz="4" w:color="808080"/>
              <w:right w:val="single" w:sz="4" w:color="808080"/>
            </w:tcBorders>
            <w:vAlign w:val="center"/>
          </w:tcPr>
          <w:p>
            <w:pPr>
              <w:jc w:val="left"/>
            </w:pPr>
            <w:r/>
            <w:r>
              <w:rPr>
                <w:b/>
                <w:sz w:val="21"/>
              </w:rPr>
              <w:t>Weighted Total</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100</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{{F1_TOTAL}}</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{{F2_TOTAL}}</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{{F3_TOTAL}}</w:t>
            </w:r>
          </w:p>
        </w:tc>
      </w:tr>
    </w:tbl>
    <w:p/>
    <w:p>
      <w:pPr>
        <w:jc w:val="both"/>
      </w:pPr>
      <w:r>
        <w:rPr>
          <w:b w:val="0"/>
          <w:i/>
        </w:rPr>
        <w:t>Note: The Contribution Matrix above is illustrative of the considerations on which the Founders reached agreement. The agreed equity split in Schedule 1 is, however, the binding outcome; minor mathematical discrepancies between the Matrix and the agreed split shall not give rise to any claim of inadequacy of consideration.</w:t>
      </w:r>
    </w:p>
    <w:p>
      <w:r>
        <w:br w:type="page"/>
      </w:r>
    </w:p>
    <w:p>
      <w:pPr>
        <w:spacing w:before="240" w:after="80"/>
        <w:pBdr>
          <w:bottom w:val="single" w:sz="6" w:space="1" w:color="002060"/>
        </w:pBdr>
      </w:pPr>
      <w:r>
        <w:rPr>
          <w:b/>
          <w:color w:val="002060"/>
          <w:sz w:val="25"/>
        </w:rPr>
        <w:t>SCHEDULE 3 — CONTRIBUTION MILESTONES</w:t>
      </w:r>
    </w:p>
    <w:p>
      <w:pPr>
        <w:jc w:val="both"/>
      </w:pPr>
      <w:r>
        <w:rPr>
          <w:b w:val="0"/>
          <w:i w:val="0"/>
        </w:rPr>
        <w:t>Each Founder shall use best efforts to achieve the following milestones. Material failure to do so may constitute a Re-balancing Event under Clause 5.1.2.</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Milestone Description</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Target Date</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Measurement</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{{FOUNDER_1_MILESTONE}}</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{{FOUNDER_1_MILESTONE_DATE}}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{{FOUNDER_1_MILESTONE_METRIC}}</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{{FOUNDER_2_MILESTONE}}</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{{FOUNDER_2_MILESTONE_DATE}}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{{FOUNDER_2_MILESTONE_METRIC}}</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{{FOUNDER_3_MILESTONE}}</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{{FOUNDER_3_MILESTONE_DATE}}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{{FOUNDER_3_MILESTONE_METRIC}}</w:t>
            </w:r>
          </w:p>
        </w:tc>
      </w:tr>
    </w:tbl>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Stamp duty on agreements is governed by the State Stamp Act of the State where the Agreement is executed. For Maharashtra, Karnataka, Delhi NCT, agreements typically attract ₹100–₹500 stamp duty.</w:t>
      </w:r>
    </w:p>
    <w:p>
      <w:pPr>
        <w:pStyle w:val="ListBullet"/>
        <w:spacing w:after="40"/>
        <w:ind w:left="567"/>
        <w:jc w:val="both"/>
      </w:pPr>
      <w:r>
        <w:t>Notarisation is not mandatory but improves evidentiary value.</w:t>
      </w:r>
    </w:p>
    <w:p>
      <w:pPr>
        <w:pStyle w:val="ListBullet"/>
        <w:spacing w:after="40"/>
        <w:ind w:left="567"/>
        <w:jc w:val="both"/>
      </w:pPr>
      <w:r>
        <w:t>If allotment of equity to Founders crosses the Foreign Direct Investment threshold or involves non-resident Founders, comply with FEMA (Non-debt Instruments) Rules, 2019 — filings include Form FC-GPR within 30 days.</w:t>
      </w:r>
    </w:p>
    <w:p>
      <w:pPr>
        <w:pStyle w:val="ListBullet"/>
        <w:spacing w:after="40"/>
        <w:ind w:left="567"/>
        <w:jc w:val="both"/>
      </w:pPr>
      <w:r>
        <w:t>Issue of shares at less than fair market value to a Founder who is also an employee may trigger perquisite tax under Section 17(2)(vi) of the Income-tax Act, 1961 — consider issuance at fair value or under the ESOP route.</w:t>
      </w:r>
    </w:p>
    <w:p>
      <w:pPr>
        <w:pStyle w:val="ListBullet"/>
        <w:spacing w:after="40"/>
        <w:ind w:left="567"/>
        <w:jc w:val="both"/>
      </w:pPr>
      <w:r>
        <w:t>Section 56(2)(x) of the Income-tax Act, 1961 may apply if shares are issued at less than fair market value to a Founder who is not an existing shareholder.</w:t>
      </w:r>
    </w:p>
    <w:p>
      <w:pPr>
        <w:pStyle w:val="ListBullet"/>
        <w:spacing w:after="40"/>
        <w:ind w:left="567"/>
        <w:jc w:val="both"/>
      </w:pPr>
      <w:r>
        <w:t>The Cap Table should be maintained and reconciled with the Register of Members (Section 88) and Form MGT-7 annually.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