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FOUNDERS' AGREEMENT</w:t>
      </w:r>
    </w:p>
    <w:p>
      <w:pPr>
        <w:spacing w:before="200" w:after="160"/>
        <w:jc w:val="center"/>
      </w:pPr>
      <w:r>
        <w:rPr>
          <w:b/>
          <w:color w:val="595959"/>
          <w:sz w:val="26"/>
        </w:rPr>
        <w:t>(India – Private Limited Company)</w:t>
      </w:r>
    </w:p>
    <w:p>
      <w:pPr>
        <w:spacing w:before="120"/>
        <w:jc w:val="center"/>
      </w:pPr>
      <w:r>
        <w:rPr>
          <w:i/>
          <w:sz w:val="22"/>
        </w:rPr>
        <w:t>Executed on this {{EXECUTION_DAY}} day of {{EXECUTION_MONTH}}, {{EXECUTION_YEAR}}</w:t>
      </w:r>
    </w:p>
    <w:p>
      <w:pPr>
        <w:jc w:val="center"/>
      </w:pPr>
      <w:r>
        <w:rPr>
          <w:i/>
          <w:sz w:val="22"/>
        </w:rPr>
        <w:t>at {{EXECUTION_PLACE}}, India</w:t>
      </w:r>
    </w:p>
    <w:p/>
    <w:p>
      <w:pPr>
        <w:spacing w:before="240" w:after="80"/>
        <w:pBdr>
          <w:bottom w:val="single" w:sz="6" w:space="1" w:color="002060"/>
        </w:pBdr>
      </w:pPr>
      <w:r>
        <w:rPr>
          <w:b/>
          <w:color w:val="002060"/>
          <w:sz w:val="25"/>
        </w:rPr>
        <w:t>DOCUMENT INFORMATION</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Company Name</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{{COMPANY_NAME}}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CIN (if incorporated)</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{{COMPANY_CIN}}</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Registered Office</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{{COMPANY_REGISTERED_OFFICE}}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Effective Date</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{{EFFECTIVE_DATE}}</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Governing Law</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Laws of the Republic of India</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Seat of Arbitration</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{{ARBITRATION_SEAT_CITY}}, India</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Exclusive Jurisdiction</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Courts at {{JURISDICTION_CITY}}, India</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Paid (₹)</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{{STAMP_DUTY_AMOUNT}}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Notarization</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{{NOTARIZATION_STATUS}}</w:t>
            </w:r>
          </w:p>
        </w:tc>
      </w:tr>
    </w:tbl>
    <w:p/>
    <w:p>
      <w:pPr>
        <w:spacing w:before="240" w:after="80"/>
        <w:pBdr>
          <w:bottom w:val="single" w:sz="6" w:space="1" w:color="002060"/>
        </w:pBdr>
      </w:pPr>
      <w:r>
        <w:rPr>
          <w:b/>
          <w:color w:val="002060"/>
          <w:sz w:val="25"/>
        </w:rPr>
        <w:t>PARTIES TO THIS AGREEMENT</w:t>
      </w:r>
    </w:p>
    <w:p>
      <w:pPr>
        <w:jc w:val="both"/>
      </w:pPr>
      <w:r>
        <w:rPr>
          <w:b w:val="0"/>
          <w:i w:val="0"/>
        </w:rPr>
        <w:t>This Founders' Agreement (hereinafter referred to as the “Agreement”) is made and entered into at {{EXECUTION_PLACE}}, India, on this {{EXECUTION_DAY}} day of {{EXECUTION_MONTH}}, {{EXECUTION_YEAR}} (the “Effective Date”),</w:t>
      </w:r>
    </w:p>
    <w:p/>
    <w:p>
      <w:pPr>
        <w:jc w:val="both"/>
      </w:pPr>
      <w:r>
        <w:rPr>
          <w:b/>
          <w:i w:val="0"/>
        </w:rPr>
        <w:t>BY AND AMONGST:</w:t>
      </w:r>
    </w:p>
    <w:p>
      <w:pPr>
        <w:jc w:val="both"/>
      </w:pPr>
      <w:r>
        <w:rPr>
          <w:b w:val="0"/>
          <w:i w:val="0"/>
        </w:rPr>
        <w:t>1.  {{FOUNDER_1_NAME}}, son/daughter of {{FOUNDER_1_PARENT_NAME}}, aged about {{FOUNDER_1_AGE}} years, an Indian citizen, holding PAN {{FOUNDER_1_PAN}} and Aadhaar {{FOUNDER_1_AADHAAR_MASKED}}, residing at {{FOUNDER_1_ADDRESS}} (hereinafter referred to as the “Founder 1” or “{{FOUNDER_1_SHORT_NAME}}”, which expression shall, unless repugnant to the context, mean and include his/her legal heirs, executors, administrators, successors and permitted assigns) of the FIRST PART;</w:t>
      </w:r>
    </w:p>
    <w:p/>
    <w:p>
      <w:pPr>
        <w:jc w:val="both"/>
      </w:pPr>
      <w:r>
        <w:rPr>
          <w:b w:val="0"/>
          <w:i w:val="0"/>
        </w:rPr>
        <w:t>2.  {{FOUNDER_2_NAME}}, son/daughter of {{FOUNDER_2_PARENT_NAME}}, aged about {{FOUNDER_2_AGE}} years, an Indian citizen, holding PAN {{FOUNDER_2_PAN}} and Aadhaar {{FOUNDER_2_AADHAAR_MASKED}}, residing at {{FOUNDER_2_ADDRESS}} (hereinafter referred to as the “Founder 2” or “{{FOUNDER_2_SHORT_NAME}}”, which expression shall, unless repugnant to the context, mean and include his/her legal heirs, executors, administrators, successors and permitted assigns) of the SECOND PART;</w:t>
      </w:r>
    </w:p>
    <w:p/>
    <w:p>
      <w:pPr>
        <w:jc w:val="both"/>
      </w:pPr>
      <w:r>
        <w:rPr>
          <w:b w:val="0"/>
          <w:i w:val="0"/>
        </w:rPr>
        <w:t>3.  {{FOUNDER_3_NAME}}, son/daughter of {{FOUNDER_3_PARENT_NAME}}, aged about {{FOUNDER_3_AGE}} years, an Indian citizen, holding PAN {{FOUNDER_3_PAN}} and Aadhaar {{FOUNDER_3_AADHAAR_MASKED}}, residing at {{FOUNDER_3_ADDRESS}} (hereinafter referred to as the “Founder 3” or “{{FOUNDER_3_SHORT_NAME}}”, which expression shall, unless repugnant to the context, mean and include his/her legal heirs, executors, administrators, successors and permitted assigns) of the THIRD PART;</w:t>
      </w:r>
    </w:p>
    <w:p>
      <w:pPr>
        <w:jc w:val="both"/>
      </w:pPr>
      <w:r>
        <w:rPr>
          <w:b w:val="0"/>
          <w:i/>
          <w:sz w:val="18"/>
        </w:rPr>
        <w:t>[Repeat the above block for each additional Founder, renumbering accordingly. Delete the blocks for Founders who do not exist.]</w:t>
      </w:r>
    </w:p>
    <w:p/>
    <w:p>
      <w:pPr>
        <w:jc w:val="both"/>
      </w:pPr>
      <w:r>
        <w:rPr>
          <w:b w:val="0"/>
          <w:i w:val="0"/>
        </w:rPr>
        <w:t>AND</w:t>
      </w:r>
    </w:p>
    <w:p/>
    <w:p>
      <w:pPr>
        <w:jc w:val="both"/>
      </w:pPr>
      <w:r>
        <w:rPr>
          <w:b w:val="0"/>
          <w:i w:val="0"/>
        </w:rPr>
        <w:t>4.  {{COMPANY_NAME}}, a private limited company incorporated under the Companies Act, 2013, having Corporate Identification Number (CIN) {{COMPANY_CIN}}, and having its registered office at {{COMPANY_REGISTERED_OFFICE}} (hereinafter referred to as the “Company”, which expression shall, unless repugnant to the context, mean and include its successors and permitted assigns) of the {{COMPANY_PART_NUMBER}} PART.</w:t>
      </w:r>
    </w:p>
    <w:p>
      <w:pPr>
        <w:jc w:val="both"/>
      </w:pPr>
      <w:r>
        <w:rPr>
          <w:b w:val="0"/>
          <w:i/>
          <w:sz w:val="18"/>
        </w:rPr>
        <w:t>[If the Company is yet to be incorporated, replace the above with: "The Founders intend to incorporate a private limited company under the name {{PROPOSED_COMPANY_NAME}} (or such other name as may be approved by the Registrar of Companies, {{ROC_LOCATION}}) and this Agreement shall, upon such incorporation, automatically be adopted by and bind the Company."]</w:t>
      </w:r>
    </w:p>
    <w:p/>
    <w:p>
      <w:pPr>
        <w:jc w:val="both"/>
      </w:pPr>
      <w:r>
        <w:rPr>
          <w:b w:val="0"/>
          <w:i w:val="0"/>
        </w:rPr>
        <w:t>The Founders and the Company are hereinafter individually referred to as a “Party” and collectively as the “Parties”.</w:t>
      </w:r>
    </w:p>
    <w:p>
      <w:pPr>
        <w:spacing w:before="240" w:after="80"/>
        <w:pBdr>
          <w:bottom w:val="single" w:sz="6" w:space="1" w:color="002060"/>
        </w:pBdr>
      </w:pPr>
      <w:r>
        <w:rPr>
          <w:b/>
          <w:color w:val="002060"/>
          <w:sz w:val="25"/>
        </w:rPr>
        <w:t>RECITALS / BACKGROUND</w:t>
      </w:r>
    </w:p>
    <w:p>
      <w:pPr>
        <w:spacing w:before="40"/>
        <w:ind w:left="454"/>
        <w:jc w:val="both"/>
      </w:pPr>
      <w:r>
        <w:rPr>
          <w:b/>
        </w:rPr>
        <w:t xml:space="preserve">A. </w:t>
      </w:r>
      <w:r>
        <w:t>The Founders have jointly conceptualised, developed and intend to carry on the business of {{BUSINESS_DESCRIPTION}} (the “Business”), which is more particularly described in Schedule 1 (Business Plan) to this Agreement.</w:t>
      </w:r>
    </w:p>
    <w:p>
      <w:pPr>
        <w:spacing w:before="40"/>
        <w:ind w:left="454"/>
        <w:jc w:val="both"/>
      </w:pPr>
      <w:r>
        <w:rPr>
          <w:b/>
        </w:rPr>
        <w:t xml:space="preserve">B. </w:t>
      </w:r>
      <w:r>
        <w:t>The Founders have caused/propose to cause the Company to be incorporated under the Companies Act, 2013 with the principal object of carrying on the Business, and the Memorandum of Association and Articles of Association of the Company shall be in a form mutually agreed amongst the Founders.</w:t>
      </w:r>
    </w:p>
    <w:p>
      <w:pPr>
        <w:spacing w:before="40"/>
        <w:ind w:left="454"/>
        <w:jc w:val="both"/>
      </w:pPr>
      <w:r>
        <w:rPr>
          <w:b/>
        </w:rPr>
        <w:t xml:space="preserve">C. </w:t>
      </w:r>
      <w:r>
        <w:t>The Parties wish to record, in writing, the terms and conditions governing inter alia: (i) their respective roles, responsibilities and time commitments to the Company; (ii) the issue, allotment and vesting of equity shares in the Company; (iii) ownership and assignment of Intellectual Property; (iv) confidentiality, non-compete and non-solicitation obligations; (v) governance, decision-making and reserved matters; (vi) restrictions on transfer of shares; (vii) consequences of a Founder ceasing to be associated with the Company; and (viii) dispute resolution and other ancillary matters.</w:t>
      </w:r>
    </w:p>
    <w:p>
      <w:pPr>
        <w:spacing w:before="40"/>
        <w:ind w:left="454"/>
        <w:jc w:val="both"/>
      </w:pPr>
      <w:r>
        <w:rPr>
          <w:b/>
        </w:rPr>
        <w:t xml:space="preserve">D. </w:t>
      </w:r>
      <w:r>
        <w:t>The Parties are entering into this Agreement to set out the foundational understanding between them on the above subject matters in a binding and enforceable manner under applicable Indian law.</w:t>
      </w:r>
    </w:p>
    <w:p/>
    <w:p>
      <w:pPr>
        <w:jc w:val="both"/>
      </w:pPr>
      <w:r>
        <w:rPr>
          <w:b/>
          <w:i w:val="0"/>
        </w:rPr>
        <w:t>NOW, THEREFORE, in consideration of the mutual promises, covenants, representations and warranties contained herein and other good and valuable consideration, the receipt and sufficiency of which is hereby acknowledged, the Parties, intending to be legally bound, agree as follows:</w:t>
      </w:r>
    </w:p>
    <w:p>
      <w:r>
        <w:br w:type="page"/>
      </w:r>
    </w:p>
    <w:p>
      <w:pPr>
        <w:spacing w:before="240" w:after="80"/>
        <w:pBdr>
          <w:bottom w:val="single" w:sz="6" w:space="1" w:color="002060"/>
        </w:pBdr>
      </w:pPr>
      <w:r>
        <w:rPr>
          <w:b/>
          <w:color w:val="002060"/>
          <w:sz w:val="25"/>
        </w:rPr>
        <w:t>1.  DEFINITIONS AND INTERPRETATION</w:t>
      </w:r>
    </w:p>
    <w:p>
      <w:pPr>
        <w:spacing w:before="160" w:after="60"/>
      </w:pPr>
      <w:r>
        <w:rPr>
          <w:b/>
          <w:color w:val="002060"/>
          <w:sz w:val="23"/>
        </w:rPr>
        <w:t>1.1 Definitions</w:t>
      </w:r>
    </w:p>
    <w:p>
      <w:pPr>
        <w:jc w:val="both"/>
      </w:pPr>
      <w:r>
        <w:rPr>
          <w:b w:val="0"/>
          <w:i w:val="0"/>
        </w:rPr>
        <w:t>In this Agreement, unless the context otherwise requires, the following capitalised terms shall have the meanings ascribed to them below:</w:t>
      </w:r>
    </w:p>
    <w:tbl>
      <w:tblPr>
        <w:tblW w:type="auto" w:w="0"/>
        <w:jc w:val="center"/>
        <w:tblLayout w:type="fixed"/>
        <w:tblLook w:firstColumn="1" w:firstRow="1" w:lastColumn="0" w:lastRow="0" w:noHBand="0" w:noVBand="1" w:val="04A0"/>
      </w:tblPr>
      <w:tblGrid>
        <w:gridCol w:w="4873"/>
        <w:gridCol w:w="4873"/>
      </w:tblGrid>
      <w:tr>
        <w:tc>
          <w:tcPr>
            <w:tcW w:type="dxa" w:w="272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63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Companies Act, 2013, as amended from time to time, together with the rules, regulations, notifications, circulars and orders made thereunder.</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“Affiliate”</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 relation to any Person, any other Person that, directly or indirectly, Controls, is Controlled by, or is under common Control with such first Person.</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“Articles” / “AoA”</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Articles of Association of the Company, as amended from time to time.</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“Board”</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board of directors of the Company, as constituted from time to time.</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“Business Day”</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a day (other than a Saturday, Sunday or a public holiday declared under the Negotiable Instruments Act, 1881) on which scheduled commercial banks are open for normal business in {{JURISDICTION_CITY}}, India.</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“Cliff Period”</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period of {{CLIFF_PERIOD_MONTHS}} ({{CLIFF_PERIOD_MONTHS_WORDS}}) months commencing from the Vesting Commencement Date during which no Founder Shares shall Vest.</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“Confidential Information”</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has the meaning assigned to it in Clause 10.1.</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“Control”</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possession, directly or indirectly, of the power to direct or cause the direction of the management and policies of a Person, whether through ownership of voting securities, by contract or otherwise; and shall, in the case of a company, include ownership of not less than fifty-one percent (51%) of the voting share capital and/or the right to appoint a majority of the directors.</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“Encumbrance”</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any mortgage, charge (whether fixed or floating), pledge, lien, hypothecation, assignment by way of security, security interest, title retention, pre-emptive right, option, right of first refusal, claim, restriction or any other encumbrance of any kind.</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“ESOP” / “ESOP Pool”</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employee stock option plan of the Company, of an aggregate size of {{ESOP_POOL_PERCENT}}% of the fully diluted share capital, constituted in accordance with Section 62(1)(b) of the Act and the Companies (Share Capital and Debentures) Rules, 2014.</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“Founder Shares”</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Equity Shares of the Company held by the Founders, as set out in Schedule 2 (Capitalisation Table), as adjusted from time to time.</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“Good Leaver”</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has the meaning assigned to it in Clause 14.2.</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“Bad Leaver”</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has the meaning assigned to it in Clause 14.3.</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“Intellectual Property” / “IP”</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all intellectual and industrial property rights of any nature whatsoever, including without limitation, patents, patent applications, copyrights, trademarks, service marks, trade names, trade secrets, designs (registered and unregistered), database rights, domain names, source code, object code, algorithms, software (including software in any form and on any medium), know-how, technical data, inventions (whether patentable or not), discoveries, improvements, methods, processes, formulae, drawings and any rights similar or analogous to any of the foregoing, whether arising under the laws of India or any other jurisdiction.</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“Memorandum” / “MoA”</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Memorandum of Association of the Company, as amended from time to time.</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“Person”</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individual, sole proprietorship, partnership, firm, limited liability partnership, company, corporation, trust, society, association, joint venture, Hindu undivided family, government, or any other entity or body of persons, whether incorporated or unincorporated.</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“Reserved Matters”</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matters listed in Schedule 4 (Reserved Matters), which shall require the prior written consent of all the Founders.</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“Restricted Period”</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period during which a Founder is associated with the Company and, additionally, a period of {{NON_COMPETE_MONTHS}} ({{NON_COMPETE_MONTHS_WORDS}}) months thereafter.</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“Restricted Territory”</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Republic of India and such other territories where the Company carries on business as of the date the Founder ceases to be associated with the Company.</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“Shareholders’ Agreement” / “SHA”</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shareholders’ agreement entered into amongst the shareholders of the Company including investors, from time to time. In the event of any conflict between this Agreement and the SHA, the SHA shall prevail to the extent permitted by Applicable Law.</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“Vest” / “Vesting”</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the process by which a Founder’s economic and beneficial ownership of Founder Shares becomes free from the reverse-vesting / repurchase obligations contained in this Agreement, in accordance with the Vesting Schedule.</w:t>
            </w:r>
          </w:p>
        </w:tc>
      </w:tr>
      <w:tr>
        <w:tc>
          <w:tcPr>
            <w:tcW w:type="dxa" w:w="272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“Vesting Commencement Date”</w:t>
            </w:r>
          </w:p>
        </w:tc>
        <w:tc>
          <w:tcPr>
            <w:tcW w:type="dxa" w:w="663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in respect of each Founder, the date specified against such Founder’s name in Schedule 3 (Vesting Schedule).</w:t>
            </w:r>
          </w:p>
        </w:tc>
      </w:tr>
      <w:tr>
        <w:tc>
          <w:tcPr>
            <w:tcW w:type="dxa" w:w="2721"/>
            <w:tcBorders>
              <w:top w:val="single" w:sz="4" w:color="808080"/>
              <w:left w:val="single" w:sz="4" w:color="808080"/>
              <w:bottom w:val="single" w:sz="4" w:color="808080"/>
              <w:right w:val="single" w:sz="4" w:color="808080"/>
            </w:tcBorders>
            <w:vAlign w:val="center"/>
          </w:tcPr>
          <w:p>
            <w:pPr>
              <w:jc w:val="left"/>
            </w:pPr>
            <w:r/>
            <w:r>
              <w:rPr>
                <w:b/>
                <w:sz w:val="21"/>
              </w:rPr>
              <w:t>“Vesting Period”</w:t>
            </w:r>
          </w:p>
        </w:tc>
        <w:tc>
          <w:tcPr>
            <w:tcW w:type="dxa" w:w="6633"/>
            <w:tcBorders>
              <w:top w:val="single" w:sz="4" w:color="808080"/>
              <w:left w:val="single" w:sz="4" w:color="808080"/>
              <w:bottom w:val="single" w:sz="4" w:color="808080"/>
              <w:right w:val="single" w:sz="4" w:color="808080"/>
            </w:tcBorders>
            <w:vAlign w:val="center"/>
          </w:tcPr>
          <w:p>
            <w:pPr>
              <w:jc w:val="left"/>
            </w:pPr>
            <w:r/>
            <w:r>
              <w:rPr>
                <w:sz w:val="21"/>
              </w:rPr>
              <w:t>a total period of {{VESTING_TOTAL_MONTHS}} ({{VESTING_TOTAL_MONTHS_WORDS}}) months commencing from the Vesting Commencement Date.</w:t>
            </w:r>
          </w:p>
        </w:tc>
      </w:tr>
    </w:tbl>
    <w:p/>
    <w:p>
      <w:pPr>
        <w:spacing w:before="160" w:after="60"/>
      </w:pPr>
      <w:r>
        <w:rPr>
          <w:b/>
          <w:color w:val="002060"/>
          <w:sz w:val="23"/>
        </w:rPr>
        <w:t>1.2 Interpretation</w:t>
      </w:r>
    </w:p>
    <w:p>
      <w:pPr>
        <w:spacing w:before="40"/>
        <w:ind w:left="454"/>
        <w:jc w:val="both"/>
      </w:pPr>
      <w:r>
        <w:rPr>
          <w:b/>
        </w:rPr>
        <w:t xml:space="preserve">1.2.1 </w:t>
      </w:r>
      <w:r>
        <w:t>References to clauses, sub-clauses, schedules and annexures are to clauses, sub-clauses, schedules and annexures of this Agreement.</w:t>
      </w:r>
    </w:p>
    <w:p>
      <w:pPr>
        <w:spacing w:before="40"/>
        <w:ind w:left="454"/>
        <w:jc w:val="both"/>
      </w:pPr>
      <w:r>
        <w:rPr>
          <w:b/>
        </w:rPr>
        <w:t xml:space="preserve">1.2.2 </w:t>
      </w:r>
      <w:r>
        <w:t>Headings are for convenience only and shall not affect the interpretation of this Agreement.</w:t>
      </w:r>
    </w:p>
    <w:p>
      <w:pPr>
        <w:spacing w:before="40"/>
        <w:ind w:left="454"/>
        <w:jc w:val="both"/>
      </w:pPr>
      <w:r>
        <w:rPr>
          <w:b/>
        </w:rPr>
        <w:t xml:space="preserve">1.2.3 </w:t>
      </w:r>
      <w:r>
        <w:t>Words in the singular include the plural and vice versa; words denoting any one gender include all other genders.</w:t>
      </w:r>
    </w:p>
    <w:p>
      <w:pPr>
        <w:spacing w:before="40"/>
        <w:ind w:left="454"/>
        <w:jc w:val="both"/>
      </w:pPr>
      <w:r>
        <w:rPr>
          <w:b/>
        </w:rPr>
        <w:t xml:space="preserve">1.2.4 </w:t>
      </w:r>
      <w:r>
        <w:t>“Including” and “in particular” shall be construed as illustrative and without limitation.</w:t>
      </w:r>
    </w:p>
    <w:p>
      <w:pPr>
        <w:spacing w:before="40"/>
        <w:ind w:left="454"/>
        <w:jc w:val="both"/>
      </w:pPr>
      <w:r>
        <w:rPr>
          <w:b/>
        </w:rPr>
        <w:t xml:space="preserve">1.2.5 </w:t>
      </w:r>
      <w:r>
        <w:t>References to any statute or statutory provision include any subordinate legislation, and any amendment, modification, consolidation, re-enactment or replacement thereof from time to time.</w:t>
      </w:r>
    </w:p>
    <w:p>
      <w:pPr>
        <w:spacing w:before="40"/>
        <w:ind w:left="454"/>
        <w:jc w:val="both"/>
      </w:pPr>
      <w:r>
        <w:rPr>
          <w:b/>
        </w:rPr>
        <w:t xml:space="preserve">1.2.6 </w:t>
      </w:r>
      <w:r>
        <w:t>References to “₹” or “INR” are to the lawful currency of the Republic of India.</w:t>
      </w:r>
    </w:p>
    <w:p>
      <w:pPr>
        <w:spacing w:before="40"/>
        <w:ind w:left="454"/>
        <w:jc w:val="both"/>
      </w:pPr>
      <w:r>
        <w:rPr>
          <w:b/>
        </w:rPr>
        <w:t xml:space="preserve">1.2.7 </w:t>
      </w:r>
      <w:r>
        <w:t>Time periods shall be calculated in accordance with the General Clauses Act, 1897. If any action is required to be taken on a day that is not a Business Day, the same shall be taken on the immediately succeeding Business Day.</w:t>
      </w:r>
    </w:p>
    <w:p>
      <w:pPr>
        <w:spacing w:before="240" w:after="80"/>
        <w:pBdr>
          <w:bottom w:val="single" w:sz="6" w:space="1" w:color="002060"/>
        </w:pBdr>
      </w:pPr>
      <w:r>
        <w:rPr>
          <w:b/>
          <w:color w:val="002060"/>
          <w:sz w:val="25"/>
        </w:rPr>
        <w:t>2.  BUSINESS OF THE COMPANY</w:t>
      </w:r>
    </w:p>
    <w:p>
      <w:pPr>
        <w:spacing w:before="80"/>
        <w:jc w:val="both"/>
      </w:pPr>
      <w:r>
        <w:rPr>
          <w:b/>
        </w:rPr>
        <w:t xml:space="preserve">2.1 </w:t>
      </w:r>
      <w:r>
        <w:rPr>
          <w:b/>
        </w:rPr>
        <w:t xml:space="preserve">Scope of Business. </w:t>
      </w:r>
      <w:r>
        <w:t>The Company shall carry on the Business of {{BUSINESS_DESCRIPTION}}, in accordance with the main objects set out in its Memorandum of Association.</w:t>
      </w:r>
    </w:p>
    <w:p>
      <w:pPr>
        <w:spacing w:before="80"/>
        <w:jc w:val="both"/>
      </w:pPr>
      <w:r>
        <w:rPr>
          <w:b/>
        </w:rPr>
        <w:t xml:space="preserve">2.2 </w:t>
      </w:r>
      <w:r>
        <w:rPr>
          <w:b/>
        </w:rPr>
        <w:t xml:space="preserve">Place of Business. </w:t>
      </w:r>
      <w:r>
        <w:t>The Company’s primary place of business shall be at {{COMPANY_REGISTERED_OFFICE}}. The Company may, with the approval of the Board, establish additional offices, branches or subsidiaries in India or overseas.</w:t>
      </w:r>
    </w:p>
    <w:p>
      <w:pPr>
        <w:spacing w:before="80"/>
        <w:jc w:val="both"/>
      </w:pPr>
      <w:r>
        <w:rPr>
          <w:b/>
        </w:rPr>
        <w:t xml:space="preserve">2.3 </w:t>
      </w:r>
      <w:r>
        <w:rPr>
          <w:b/>
        </w:rPr>
        <w:t xml:space="preserve">Exclusivity of Effort. </w:t>
      </w:r>
      <w:r>
        <w:t>Each Founder shall devote his/her full business time, attention, skill and efforts to the affairs of the Company and shall not, directly or indirectly, engage in any other business or employment except with the prior written consent of all the other Founders. Pre-existing engagements, if any, are disclosed in Schedule 5 (Pre-Existing Engagements &amp; IP).</w:t>
      </w:r>
    </w:p>
    <w:p>
      <w:pPr>
        <w:spacing w:before="80"/>
        <w:jc w:val="both"/>
      </w:pPr>
      <w:r>
        <w:rPr>
          <w:b/>
        </w:rPr>
        <w:t xml:space="preserve">2.4 </w:t>
      </w:r>
      <w:r>
        <w:rPr>
          <w:b/>
        </w:rPr>
        <w:t xml:space="preserve">Brand and Goodwill. </w:t>
      </w:r>
      <w:r>
        <w:t>All trademarks, trade names, logos, domain names and brand identifiers used in connection with the Business shall be the sole and exclusive property of the Company. No Founder shall, in his/her personal capacity, register or attempt to register any such mark.</w:t>
      </w:r>
    </w:p>
    <w:p>
      <w:pPr>
        <w:spacing w:before="240" w:after="80"/>
        <w:pBdr>
          <w:bottom w:val="single" w:sz="6" w:space="1" w:color="002060"/>
        </w:pBdr>
      </w:pPr>
      <w:r>
        <w:rPr>
          <w:b/>
          <w:color w:val="002060"/>
          <w:sz w:val="25"/>
        </w:rPr>
        <w:t>3.  ROLES, RESPONSIBILITIES AND TIME COMMITMENT</w:t>
      </w:r>
    </w:p>
    <w:p>
      <w:pPr>
        <w:spacing w:before="80"/>
        <w:jc w:val="both"/>
      </w:pPr>
      <w:r>
        <w:rPr>
          <w:b/>
        </w:rPr>
        <w:t xml:space="preserve">3.1 </w:t>
      </w:r>
      <w:r>
        <w:rPr>
          <w:b/>
        </w:rPr>
        <w:t xml:space="preserve">Designations. </w:t>
      </w:r>
      <w:r>
        <w:t>The initial roles, designations and key responsibility areas of each Founder shall be as set out in Schedule 6 (Roles &amp; Responsibilities). Any change in designation or primary responsibilities shall require the prior written consent of all Founders.</w:t>
      </w:r>
    </w:p>
    <w:p>
      <w:pPr>
        <w:spacing w:before="80"/>
        <w:jc w:val="both"/>
      </w:pPr>
      <w:r>
        <w:rPr>
          <w:b/>
        </w:rPr>
        <w:t xml:space="preserve">3.2 </w:t>
      </w:r>
      <w:r>
        <w:rPr>
          <w:b/>
        </w:rPr>
        <w:t xml:space="preserve">Reporting &amp; Authority. </w:t>
      </w:r>
      <w:r>
        <w:t>Each Founder shall report to the Board collectively. Functional decisions within the ordinary course of business and within an individual Founder’s area of responsibility may be taken independently, subject to the Reserved Matters set out in Schedule 4.</w:t>
      </w:r>
    </w:p>
    <w:p>
      <w:pPr>
        <w:spacing w:before="80"/>
        <w:jc w:val="both"/>
      </w:pPr>
      <w:r>
        <w:rPr>
          <w:b/>
        </w:rPr>
        <w:t xml:space="preserve">3.3 </w:t>
      </w:r>
      <w:r>
        <w:rPr>
          <w:b/>
        </w:rPr>
        <w:t xml:space="preserve">Time Commitment. </w:t>
      </w:r>
      <w:r>
        <w:t>Each Founder shall devote not less than {{MIN_HOURS_PER_WEEK}} hours per week to the Business, and shall not undertake any external consulting, advisory or employment engagement that materially detracts from such commitment without the prior written approval of the other Founders.</w:t>
      </w:r>
    </w:p>
    <w:p>
      <w:pPr>
        <w:spacing w:before="80"/>
        <w:jc w:val="both"/>
      </w:pPr>
      <w:r>
        <w:rPr>
          <w:b/>
        </w:rPr>
        <w:t xml:space="preserve">3.4 </w:t>
      </w:r>
      <w:r>
        <w:rPr>
          <w:b/>
        </w:rPr>
        <w:t xml:space="preserve">Leaves of Absence. </w:t>
      </w:r>
      <w:r>
        <w:t>Each Founder shall be entitled to {{ANNUAL_LEAVE_DAYS}} working days of paid leave per calendar year, in addition to public holidays observed at {{COMPANY_REGISTERED_OFFICE}}. Any extended absence (exceeding {{MAX_CONSECUTIVE_LEAVE_DAYS}} consecutive days) shall require Board approval.</w:t>
      </w:r>
    </w:p>
    <w:p>
      <w:pPr>
        <w:spacing w:before="80"/>
        <w:jc w:val="both"/>
      </w:pPr>
      <w:r>
        <w:rPr>
          <w:b/>
        </w:rPr>
        <w:t xml:space="preserve">3.5 </w:t>
      </w:r>
      <w:r>
        <w:rPr>
          <w:b/>
        </w:rPr>
        <w:t xml:space="preserve">Performance Review. </w:t>
      </w:r>
      <w:r>
        <w:t>The performance of each Founder shall be reviewed by the Board every {{REVIEW_PERIOD_MONTHS}} months against agreed key performance indicators.</w:t>
      </w:r>
    </w:p>
    <w:p>
      <w:pPr>
        <w:spacing w:before="240" w:after="80"/>
        <w:pBdr>
          <w:bottom w:val="single" w:sz="6" w:space="1" w:color="002060"/>
        </w:pBdr>
      </w:pPr>
      <w:r>
        <w:rPr>
          <w:b/>
          <w:color w:val="002060"/>
          <w:sz w:val="25"/>
        </w:rPr>
        <w:t>4.  CAPITAL STRUCTURE AND SHAREHOLDING</w:t>
      </w:r>
    </w:p>
    <w:p>
      <w:pPr>
        <w:spacing w:before="80"/>
        <w:jc w:val="both"/>
      </w:pPr>
      <w:r>
        <w:rPr>
          <w:b/>
        </w:rPr>
        <w:t xml:space="preserve">4.1 </w:t>
      </w:r>
      <w:r>
        <w:rPr>
          <w:b/>
        </w:rPr>
        <w:t xml:space="preserve">Authorised Share Capital. </w:t>
      </w:r>
      <w:r>
        <w:t>The authorised share capital of the Company shall be ₹ {{AUTHORISED_CAPITAL_INR}} divided into {{AUTHORISED_SHARES_NUMBER}} equity shares of face value ₹ {{FACE_VALUE_INR}} each.</w:t>
      </w:r>
    </w:p>
    <w:p>
      <w:pPr>
        <w:spacing w:before="80"/>
        <w:jc w:val="both"/>
      </w:pPr>
      <w:r>
        <w:rPr>
          <w:b/>
        </w:rPr>
        <w:t xml:space="preserve">4.2 </w:t>
      </w:r>
      <w:r>
        <w:rPr>
          <w:b/>
        </w:rPr>
        <w:t xml:space="preserve">Paid-up Capital &amp; Allotment. </w:t>
      </w:r>
      <w:r>
        <w:t>The Founders shall subscribe to and the Company shall allot equity shares to each Founder in the manner set out in Schedule 2 (Capitalisation Table) within {{ALLOTMENT_DAYS}} days from the Effective Date. Each Founder shall pay the entire subscription amount in cash, through banking channels.</w:t>
      </w:r>
    </w:p>
    <w:p>
      <w:pPr>
        <w:spacing w:before="80"/>
        <w:jc w:val="both"/>
      </w:pPr>
      <w:r>
        <w:rPr>
          <w:b/>
        </w:rPr>
        <w:t xml:space="preserve">4.3 </w:t>
      </w:r>
      <w:r>
        <w:rPr>
          <w:b/>
        </w:rPr>
        <w:t xml:space="preserve">ESOP Pool. </w:t>
      </w:r>
      <w:r>
        <w:t>The Founders agree to reserve an ESOP Pool of {{ESOP_POOL_PERCENT}}% of the fully diluted share capital of the Company, which shall be created and administered in accordance with Section 62(1)(b) of the Act and the Companies (Share Capital and Debentures) Rules, 2014. Dilution on account of the ESOP Pool shall be borne pro-rata by all Founders, unless otherwise mutually agreed.</w:t>
      </w:r>
    </w:p>
    <w:p>
      <w:pPr>
        <w:spacing w:before="80"/>
        <w:jc w:val="both"/>
      </w:pPr>
      <w:r>
        <w:rPr>
          <w:b/>
        </w:rPr>
        <w:t xml:space="preserve">4.4 </w:t>
      </w:r>
      <w:r>
        <w:rPr>
          <w:b/>
        </w:rPr>
        <w:t xml:space="preserve">Future Funding &amp; Dilution. </w:t>
      </w:r>
      <w:r>
        <w:t>Any future issuance of equity shares or convertible instruments to investors, strategic partners or others shall be at a price and on terms approved by the Board, subject to the Reserved Matters and any rights granted under a Shareholders’ Agreement. All Founders shall, subject to applicable law, be entitled to participate in such issuances on a pro-rata basis (pre-emptive right), unless waived in writing.</w:t>
      </w:r>
    </w:p>
    <w:p>
      <w:pPr>
        <w:spacing w:before="80"/>
        <w:jc w:val="both"/>
      </w:pPr>
      <w:r>
        <w:rPr>
          <w:b/>
        </w:rPr>
        <w:t xml:space="preserve">4.5 </w:t>
      </w:r>
      <w:r>
        <w:rPr>
          <w:b/>
        </w:rPr>
        <w:t xml:space="preserve">Anti-Dilution and Down-Rounds. </w:t>
      </w:r>
      <w:r>
        <w:t>In the event of a down-round, the protective provisions (if any) set out in the SHA shall apply. In the absence of an SHA, no anti-dilution adjustments shall be made in favour of any Founder without the unanimous consent of all Founders.</w:t>
      </w:r>
    </w:p>
    <w:p>
      <w:pPr>
        <w:spacing w:before="240" w:after="80"/>
        <w:pBdr>
          <w:bottom w:val="single" w:sz="6" w:space="1" w:color="002060"/>
        </w:pBdr>
      </w:pPr>
      <w:r>
        <w:rPr>
          <w:b/>
          <w:color w:val="002060"/>
          <w:sz w:val="25"/>
        </w:rPr>
        <w:t>5.  VESTING OF FOUNDER SHARES</w:t>
      </w:r>
    </w:p>
    <w:p>
      <w:pPr>
        <w:spacing w:before="80"/>
        <w:jc w:val="both"/>
      </w:pPr>
      <w:r>
        <w:rPr>
          <w:b/>
        </w:rPr>
        <w:t xml:space="preserve">5.1 </w:t>
      </w:r>
      <w:r>
        <w:rPr>
          <w:b/>
        </w:rPr>
        <w:t xml:space="preserve">Reverse Vesting Mechanism. </w:t>
      </w:r>
      <w:r>
        <w:t>Notwithstanding the allotment of Founder Shares as recorded in the register of members, the Founders agree that the Founder Shares shall be subject to a reverse vesting / repurchase mechanism as set out in this Clause 5 and in Schedule 3 (Vesting Schedule). Unvested Founder Shares are referred to as “Unvested Shares” and Vested Founder Shares as “Vested Shares”.</w:t>
      </w:r>
    </w:p>
    <w:p>
      <w:pPr>
        <w:spacing w:before="80"/>
        <w:jc w:val="both"/>
      </w:pPr>
      <w:r>
        <w:rPr>
          <w:b/>
        </w:rPr>
        <w:t xml:space="preserve">5.2 </w:t>
      </w:r>
      <w:r>
        <w:rPr>
          <w:b/>
        </w:rPr>
        <w:t xml:space="preserve">Vesting Schedule. </w:t>
      </w:r>
      <w:r>
        <w:t>Subject to the Cliff Period:</w:t>
      </w:r>
    </w:p>
    <w:p>
      <w:pPr>
        <w:spacing w:before="40"/>
        <w:ind w:left="454"/>
        <w:jc w:val="both"/>
      </w:pPr>
      <w:r>
        <w:rPr>
          <w:b/>
        </w:rPr>
        <w:t xml:space="preserve">5.2.1 </w:t>
      </w:r>
      <w:r>
        <w:t>{{CLIFF_VESTING_PERCENT}}% of the Founder Shares shall Vest at the end of the Cliff Period;</w:t>
      </w:r>
    </w:p>
    <w:p>
      <w:pPr>
        <w:spacing w:before="40"/>
        <w:ind w:left="454"/>
        <w:jc w:val="both"/>
      </w:pPr>
      <w:r>
        <w:rPr>
          <w:b/>
        </w:rPr>
        <w:t xml:space="preserve">5.2.2 </w:t>
      </w:r>
      <w:r>
        <w:t>Thereafter, the balance Founder Shares shall Vest in {{POST_CLIFF_TRANCHES}} equal {{VESTING_FREQUENCY}} tranches over the remainder of the Vesting Period;</w:t>
      </w:r>
    </w:p>
    <w:p>
      <w:pPr>
        <w:spacing w:before="40"/>
        <w:ind w:left="454"/>
        <w:jc w:val="both"/>
      </w:pPr>
      <w:r>
        <w:rPr>
          <w:b/>
        </w:rPr>
        <w:t xml:space="preserve">5.2.3 </w:t>
      </w:r>
      <w:r>
        <w:t>100% of the Founder Shares shall stand Vested at the end of the Vesting Period.</w:t>
      </w:r>
    </w:p>
    <w:p>
      <w:pPr>
        <w:spacing w:before="80"/>
        <w:jc w:val="both"/>
      </w:pPr>
      <w:r>
        <w:rPr>
          <w:b/>
        </w:rPr>
        <w:t xml:space="preserve">5.3 </w:t>
      </w:r>
      <w:r>
        <w:rPr>
          <w:b/>
        </w:rPr>
        <w:t xml:space="preserve">Acceleration. </w:t>
      </w:r>
      <w:r>
        <w:t>All Unvested Shares shall accelerate and Vest immediately upon the occurrence of any of the following events (each, an “Acceleration Event”):</w:t>
      </w:r>
    </w:p>
    <w:p>
      <w:pPr>
        <w:spacing w:before="40"/>
        <w:ind w:left="454"/>
        <w:jc w:val="both"/>
      </w:pPr>
      <w:r>
        <w:rPr>
          <w:b/>
        </w:rPr>
        <w:t xml:space="preserve">5.3.1 </w:t>
      </w:r>
      <w:r>
        <w:t>A Change of Control of the Company (other than an internal re-organisation), provided that the Founder continues to be associated with the Company on the date immediately preceding such event (“single-trigger”); OR, alternatively, the Founder is terminated without Cause within {{DOUBLE_TRIGGER_MONTHS}} months following such Change of Control (“double-trigger”) – the Parties shall elect the applicable trigger in Schedule 3;</w:t>
      </w:r>
    </w:p>
    <w:p>
      <w:pPr>
        <w:spacing w:before="40"/>
        <w:ind w:left="454"/>
        <w:jc w:val="both"/>
      </w:pPr>
      <w:r>
        <w:rPr>
          <w:b/>
        </w:rPr>
        <w:t xml:space="preserve">5.3.2 </w:t>
      </w:r>
      <w:r>
        <w:t>Death or Permanent Disability of the Founder;</w:t>
      </w:r>
    </w:p>
    <w:p>
      <w:pPr>
        <w:spacing w:before="40"/>
        <w:ind w:left="454"/>
        <w:jc w:val="both"/>
      </w:pPr>
      <w:r>
        <w:rPr>
          <w:b/>
        </w:rPr>
        <w:t xml:space="preserve">5.3.3 </w:t>
      </w:r>
      <w:r>
        <w:t>Termination of the Founder’s association by the Company without Cause; or</w:t>
      </w:r>
    </w:p>
    <w:p>
      <w:pPr>
        <w:spacing w:before="40"/>
        <w:ind w:left="454"/>
        <w:jc w:val="both"/>
      </w:pPr>
      <w:r>
        <w:rPr>
          <w:b/>
        </w:rPr>
        <w:t xml:space="preserve">5.3.4 </w:t>
      </w:r>
      <w:r>
        <w:t>Such other events as may be specifically agreed in Schedule 3.</w:t>
      </w:r>
    </w:p>
    <w:p>
      <w:pPr>
        <w:spacing w:before="80"/>
        <w:jc w:val="both"/>
      </w:pPr>
      <w:r>
        <w:rPr>
          <w:b/>
        </w:rPr>
        <w:t xml:space="preserve">5.4 </w:t>
      </w:r>
      <w:r>
        <w:rPr>
          <w:b/>
        </w:rPr>
        <w:t xml:space="preserve">Repurchase of Unvested Shares on Departure. </w:t>
      </w:r>
      <w:r>
        <w:t>If a Founder ceases to be associated with the Company before the end of the Vesting Period for any reason whatsoever, the Company (or, at the Company’s direction, the remaining Founders or a designated trustee) shall have the right (but not the obligation) to repurchase all Unvested Shares held by such departing Founder, at a price of ₹ {{UNVESTED_REPURCHASE_PRICE}} per share (being the face value), within {{REPURCHASE_NOTICE_DAYS}} days from the date of cessation.</w:t>
      </w:r>
    </w:p>
    <w:p>
      <w:pPr>
        <w:spacing w:before="80"/>
        <w:jc w:val="both"/>
      </w:pPr>
      <w:r>
        <w:rPr>
          <w:b/>
        </w:rPr>
        <w:t xml:space="preserve">5.5 </w:t>
      </w:r>
      <w:r>
        <w:rPr>
          <w:b/>
        </w:rPr>
        <w:t xml:space="preserve">Treatment of Vested Shares on Departure. </w:t>
      </w:r>
      <w:r>
        <w:t>Vested Shares held by a departing Founder shall be treated in accordance with the Good Leaver / Bad Leaver provisions set out in Clause 14.</w:t>
      </w:r>
    </w:p>
    <w:p>
      <w:pPr>
        <w:spacing w:before="80"/>
        <w:jc w:val="both"/>
      </w:pPr>
      <w:r>
        <w:rPr>
          <w:b/>
        </w:rPr>
        <w:t xml:space="preserve">5.6 </w:t>
      </w:r>
      <w:r>
        <w:rPr>
          <w:b/>
        </w:rPr>
        <w:t xml:space="preserve">Restriction on Transfer of Unvested Shares. </w:t>
      </w:r>
      <w:r>
        <w:t>Unvested Shares shall not be Transferred, pledged or otherwise Encumbered in any manner whatsoever, except with the prior written consent of all the other Founders. Any purported Transfer in breach of this Clause shall be null and void.</w:t>
      </w:r>
    </w:p>
    <w:p>
      <w:pPr>
        <w:spacing w:before="240" w:after="80"/>
        <w:pBdr>
          <w:bottom w:val="single" w:sz="6" w:space="1" w:color="002060"/>
        </w:pBdr>
      </w:pPr>
      <w:r>
        <w:rPr>
          <w:b/>
          <w:color w:val="002060"/>
          <w:sz w:val="25"/>
        </w:rPr>
        <w:t>6.  FOUNDER COMPENSATION</w:t>
      </w:r>
    </w:p>
    <w:p>
      <w:pPr>
        <w:spacing w:before="80"/>
        <w:jc w:val="both"/>
      </w:pPr>
      <w:r>
        <w:rPr>
          <w:b/>
        </w:rPr>
        <w:t xml:space="preserve">6.1 </w:t>
      </w:r>
      <w:r>
        <w:rPr>
          <w:b/>
        </w:rPr>
        <w:t xml:space="preserve">Salaries. </w:t>
      </w:r>
      <w:r>
        <w:t>Each Founder shall be entitled to a monthly salary as set out in Schedule 7 (Founder Compensation). Salaries shall be reviewed annually by the Board.</w:t>
      </w:r>
    </w:p>
    <w:p>
      <w:pPr>
        <w:spacing w:before="80"/>
        <w:jc w:val="both"/>
      </w:pPr>
      <w:r>
        <w:rPr>
          <w:b/>
        </w:rPr>
        <w:t xml:space="preserve">6.2 </w:t>
      </w:r>
      <w:r>
        <w:rPr>
          <w:b/>
        </w:rPr>
        <w:t xml:space="preserve">Reimbursement of Expenses. </w:t>
      </w:r>
      <w:r>
        <w:t>Each Founder shall be entitled to reimbursement of all reasonable and pre-approved business expenses incurred in the course of performing his/her duties, in accordance with the Company’s expense reimbursement policy.</w:t>
      </w:r>
    </w:p>
    <w:p>
      <w:pPr>
        <w:spacing w:before="80"/>
        <w:jc w:val="both"/>
      </w:pPr>
      <w:r>
        <w:rPr>
          <w:b/>
        </w:rPr>
        <w:t xml:space="preserve">6.3 </w:t>
      </w:r>
      <w:r>
        <w:rPr>
          <w:b/>
        </w:rPr>
        <w:t xml:space="preserve">Statutory Compliance. </w:t>
      </w:r>
      <w:r>
        <w:t>All compensation paid to the Founders shall be subject to applicable deductions under the Income-tax Act, 1961, the Employees’ Provident Funds and Miscellaneous Provisions Act, 1952, the Employees’ State Insurance Act, 1948, the Payment of Gratuity Act, 1972, and other applicable labour and tax laws.</w:t>
      </w:r>
    </w:p>
    <w:p>
      <w:pPr>
        <w:spacing w:before="80"/>
        <w:jc w:val="both"/>
      </w:pPr>
      <w:r>
        <w:rPr>
          <w:b/>
        </w:rPr>
        <w:t xml:space="preserve">6.4 </w:t>
      </w:r>
      <w:r>
        <w:rPr>
          <w:b/>
        </w:rPr>
        <w:t xml:space="preserve">Director Remuneration. </w:t>
      </w:r>
      <w:r>
        <w:t>Remuneration to Founders who are appointed as managing director, whole-time director or manager of the Company shall comply with Sections 196, 197 and 198 of the Act read with Schedule V to the Act.</w:t>
      </w:r>
    </w:p>
    <w:p>
      <w:pPr>
        <w:spacing w:before="240" w:after="80"/>
        <w:pBdr>
          <w:bottom w:val="single" w:sz="6" w:space="1" w:color="002060"/>
        </w:pBdr>
      </w:pPr>
      <w:r>
        <w:rPr>
          <w:b/>
          <w:color w:val="002060"/>
          <w:sz w:val="25"/>
        </w:rPr>
        <w:t>7.  GOVERNANCE</w:t>
      </w:r>
    </w:p>
    <w:p>
      <w:pPr>
        <w:spacing w:before="80"/>
        <w:jc w:val="both"/>
      </w:pPr>
      <w:r>
        <w:rPr>
          <w:b/>
        </w:rPr>
        <w:t xml:space="preserve">7.1 </w:t>
      </w:r>
      <w:r>
        <w:rPr>
          <w:b/>
        </w:rPr>
        <w:t xml:space="preserve">Composition of the Board. </w:t>
      </w:r>
      <w:r>
        <w:t>The Board shall initially consist of {{INITIAL_BOARD_SIZE}} directors. Each Founder holding not less than {{MIN_BOARD_NOMINATION_PERCENT}}% of the paid-up equity share capital of the Company shall have the right to nominate one director to the Board.</w:t>
      </w:r>
    </w:p>
    <w:p>
      <w:pPr>
        <w:spacing w:before="80"/>
        <w:jc w:val="both"/>
      </w:pPr>
      <w:r>
        <w:rPr>
          <w:b/>
        </w:rPr>
        <w:t xml:space="preserve">7.2 </w:t>
      </w:r>
      <w:r>
        <w:rPr>
          <w:b/>
        </w:rPr>
        <w:t xml:space="preserve">Quorum. </w:t>
      </w:r>
      <w:r>
        <w:t>The quorum for Board meetings shall be {{BOARD_QUORUM}} directors, present in person or through audio-visual means as permitted under Section 173 of the Act, provided that at least one nominee of each Founder (where applicable) is present. If quorum is not present, the meeting shall be adjourned to the same day in the next week, at the same time and place, where the quorum requirement shall be relaxed.</w:t>
      </w:r>
    </w:p>
    <w:p>
      <w:pPr>
        <w:spacing w:before="80"/>
        <w:jc w:val="both"/>
      </w:pPr>
      <w:r>
        <w:rPr>
          <w:b/>
        </w:rPr>
        <w:t xml:space="preserve">7.3 </w:t>
      </w:r>
      <w:r>
        <w:rPr>
          <w:b/>
        </w:rPr>
        <w:t xml:space="preserve">Chairperson &amp; Casting Vote. </w:t>
      </w:r>
      <w:r>
        <w:t>The Chairperson of the Board shall be {{CHAIRPERSON_NAME}} (or such other person as the Founders may unanimously appoint). The Chairperson shall {{CHAIRPERSON_CASTING_VOTE}} have a casting vote.</w:t>
      </w:r>
    </w:p>
    <w:p>
      <w:pPr>
        <w:spacing w:before="80"/>
        <w:jc w:val="both"/>
      </w:pPr>
      <w:r>
        <w:rPr>
          <w:b/>
        </w:rPr>
        <w:t xml:space="preserve">7.4 </w:t>
      </w:r>
      <w:r>
        <w:rPr>
          <w:b/>
        </w:rPr>
        <w:t xml:space="preserve">Frequency of Meetings. </w:t>
      </w:r>
      <w:r>
        <w:t>The Board shall meet at least once every {{BOARD_MEETING_FREQUENCY_DAYS}} days, subject to a minimum of four meetings each calendar year as required by Section 173 of the Act, with not more than 120 days intervening between two consecutive meetings.</w:t>
      </w:r>
    </w:p>
    <w:p>
      <w:pPr>
        <w:spacing w:before="80"/>
        <w:jc w:val="both"/>
      </w:pPr>
      <w:r>
        <w:rPr>
          <w:b/>
        </w:rPr>
        <w:t xml:space="preserve">7.5 </w:t>
      </w:r>
      <w:r>
        <w:rPr>
          <w:b/>
        </w:rPr>
        <w:t xml:space="preserve">Reserved Matters. </w:t>
      </w:r>
      <w:r>
        <w:t>Notwithstanding anything to the contrary, no decision or action shall be taken by or on behalf of the Company in respect of any of the Reserved Matters set out in Schedule 4 without the prior written consent of all the Founders.</w:t>
      </w:r>
    </w:p>
    <w:p>
      <w:pPr>
        <w:spacing w:before="80"/>
        <w:jc w:val="both"/>
      </w:pPr>
      <w:r>
        <w:rPr>
          <w:b/>
        </w:rPr>
        <w:t xml:space="preserve">7.6 </w:t>
      </w:r>
      <w:r>
        <w:rPr>
          <w:b/>
        </w:rPr>
        <w:t xml:space="preserve">Shareholder Meetings. </w:t>
      </w:r>
      <w:r>
        <w:t>Shareholder meetings shall be convened in accordance with Sections 96, 100 to 122 of the Act. The Founders shall, unless prohibited by law, vote their shares in the same manner as decided in a prior caucus meeting of the Founders, to maintain a unified shareholder voice.</w:t>
      </w:r>
    </w:p>
    <w:p>
      <w:pPr>
        <w:spacing w:before="240" w:after="80"/>
        <w:pBdr>
          <w:bottom w:val="single" w:sz="6" w:space="1" w:color="002060"/>
        </w:pBdr>
      </w:pPr>
      <w:r>
        <w:rPr>
          <w:b/>
          <w:color w:val="002060"/>
          <w:sz w:val="25"/>
        </w:rPr>
        <w:t>8.  RESTRICTIONS ON TRANSFER OF SHARES</w:t>
      </w:r>
    </w:p>
    <w:p>
      <w:pPr>
        <w:spacing w:before="80"/>
        <w:jc w:val="both"/>
      </w:pPr>
      <w:r>
        <w:rPr>
          <w:b/>
        </w:rPr>
        <w:t xml:space="preserve">8.1 </w:t>
      </w:r>
      <w:r>
        <w:rPr>
          <w:b/>
        </w:rPr>
        <w:t xml:space="preserve">Lock-in Period. </w:t>
      </w:r>
      <w:r>
        <w:t>No Founder shall, directly or indirectly, Transfer all or any of his/her Founder Shares for a period of {{LOCK_IN_YEARS}} years from the Effective Date (the “Lock-in Period”) without the prior written consent of all other Founders, except (a) Transfers permitted under Clause 8.2 (Permitted Transfers); or (b) as required by Applicable Law.</w:t>
      </w:r>
    </w:p>
    <w:p>
      <w:pPr>
        <w:spacing w:before="80"/>
        <w:jc w:val="both"/>
      </w:pPr>
      <w:r>
        <w:rPr>
          <w:b/>
        </w:rPr>
        <w:t xml:space="preserve">8.2 </w:t>
      </w:r>
      <w:r>
        <w:rPr>
          <w:b/>
        </w:rPr>
        <w:t xml:space="preserve">Permitted Transfers. </w:t>
      </w:r>
      <w:r>
        <w:t>Transfers to immediate family members (spouse, children, parents) or a trust established solely for the benefit of such immediate family members shall be permitted, provided that (i) the transferee executes a deed of adherence agreeing to be bound by this Agreement; and (ii) the Founder remains jointly and severally liable for the obligations of such transferee under this Agreement.</w:t>
      </w:r>
    </w:p>
    <w:p>
      <w:pPr>
        <w:spacing w:before="80"/>
        <w:jc w:val="both"/>
      </w:pPr>
      <w:r>
        <w:rPr>
          <w:b/>
        </w:rPr>
        <w:t xml:space="preserve">8.3 </w:t>
      </w:r>
      <w:r>
        <w:rPr>
          <w:b/>
        </w:rPr>
        <w:t xml:space="preserve">Right of First Refusal (ROFR). </w:t>
      </w:r>
      <w:r>
        <w:t>After the Lock-in Period, if a Founder (“Selling Founder”) proposes to Transfer all or any of his/her Vested Shares to a third party (“Proposed Transferee”), the Selling Founder shall first offer such shares to the other Founders pro-rata to their then shareholding (“Continuing Founders”) by a written notice (“Offer Notice”) specifying the number of shares, the price and the identity of the Proposed Transferee. The Continuing Founders shall have {{ROFR_ACCEPTANCE_DAYS}} days to accept the offer in whole or in part. Any shares not so accepted may then be Transferred to the Proposed Transferee within {{ROFR_TRANSFER_DAYS}} days at a price not lower and on terms not more favourable than those specified in the Offer Notice.</w:t>
      </w:r>
    </w:p>
    <w:p>
      <w:pPr>
        <w:spacing w:before="80"/>
        <w:jc w:val="both"/>
      </w:pPr>
      <w:r>
        <w:rPr>
          <w:b/>
        </w:rPr>
        <w:t xml:space="preserve">8.4 </w:t>
      </w:r>
      <w:r>
        <w:rPr>
          <w:b/>
        </w:rPr>
        <w:t xml:space="preserve">Tag-Along Right. </w:t>
      </w:r>
      <w:r>
        <w:t>If a Founder (“Tag Seller”) proposes to Transfer Vested Shares representing more than {{TAG_TRIGGER_PERCENT}}% of the issued share capital of the Company to a third party, the other Founders shall have the right, but not the obligation, to require the Tag Seller to procure that the third party purchases their Vested Shares pro-rata, at the same price and on the same terms.</w:t>
      </w:r>
    </w:p>
    <w:p>
      <w:pPr>
        <w:spacing w:before="80"/>
        <w:jc w:val="both"/>
      </w:pPr>
      <w:r>
        <w:rPr>
          <w:b/>
        </w:rPr>
        <w:t xml:space="preserve">8.5 </w:t>
      </w:r>
      <w:r>
        <w:rPr>
          <w:b/>
        </w:rPr>
        <w:t xml:space="preserve">Drag-Along Right. </w:t>
      </w:r>
      <w:r>
        <w:t>If Founders collectively holding not less than {{DRAG_TRIGGER_PERCENT}}% of the issued and paid-up equity share capital of the Company (the “Dragging Founders”) propose to Transfer their entire shareholding to a bona fide third party purchaser (the “Drag Purchaser”), the Dragging Founders shall have the right to require all other Founders to Transfer all (and not less than all) of their Vested Shares to the Drag Purchaser, at the same price and on the same terms as the Dragging Founders.</w:t>
      </w:r>
    </w:p>
    <w:p>
      <w:pPr>
        <w:spacing w:before="80"/>
        <w:jc w:val="both"/>
      </w:pPr>
      <w:r>
        <w:rPr>
          <w:b/>
        </w:rPr>
        <w:t xml:space="preserve">8.6 </w:t>
      </w:r>
      <w:r>
        <w:rPr>
          <w:b/>
        </w:rPr>
        <w:t xml:space="preserve">Compliance with Law. </w:t>
      </w:r>
      <w:r>
        <w:t>All Transfers of shares shall be in compliance with the Act, the Foreign Exchange Management Act, 1999 (where applicable), and any other Applicable Law including, where applicable, pricing guidelines and reporting requirements under the Foreign Exchange Management (Non-debt Instruments) Rules, 2019.</w:t>
      </w:r>
    </w:p>
    <w:p>
      <w:pPr>
        <w:spacing w:before="240" w:after="80"/>
        <w:pBdr>
          <w:bottom w:val="single" w:sz="6" w:space="1" w:color="002060"/>
        </w:pBdr>
      </w:pPr>
      <w:r>
        <w:rPr>
          <w:b/>
          <w:color w:val="002060"/>
          <w:sz w:val="25"/>
        </w:rPr>
        <w:t>9.  INTELLECTUAL PROPERTY</w:t>
      </w:r>
    </w:p>
    <w:p>
      <w:pPr>
        <w:spacing w:before="80"/>
        <w:jc w:val="both"/>
      </w:pPr>
      <w:r>
        <w:rPr>
          <w:b/>
        </w:rPr>
        <w:t xml:space="preserve">9.1 </w:t>
      </w:r>
      <w:r>
        <w:rPr>
          <w:b/>
        </w:rPr>
        <w:t xml:space="preserve">Present Assignment. </w:t>
      </w:r>
      <w:r>
        <w:t>Each Founder hereby absolutely, irrevocably and unconditionally assigns, transfers, conveys and sets over to the Company all right, title and interest, including all Intellectual Property rights, in and to all works, inventions, ideas, concepts, designs, software (in source and object code form), code, algorithms, models, trademarks, domain names, content, materials and other deliverables, whether created, conceived, reduced to practice or first fixed in a tangible medium of expression, alone or jointly with others, by such Founder (i) on or before the Effective Date in connection with the Business, and (ii) during the term of his/her association with the Company in connection with, or relating to, the Business (collectively, “Company IP”). This assignment shall extend to all moral rights to the maximum extent permissible under the Copyright Act, 1957 and the Designs Act, 2000.</w:t>
      </w:r>
    </w:p>
    <w:p>
      <w:pPr>
        <w:spacing w:before="80"/>
        <w:jc w:val="both"/>
      </w:pPr>
      <w:r>
        <w:rPr>
          <w:b/>
        </w:rPr>
        <w:t xml:space="preserve">9.2 </w:t>
      </w:r>
      <w:r>
        <w:rPr>
          <w:b/>
        </w:rPr>
        <w:t xml:space="preserve">Future IP &amp; Work Made for Hire. </w:t>
      </w:r>
      <w:r>
        <w:t>All Intellectual Property created by a Founder during the term of his/her association with the Company shall be deemed to be “work made for hire” / “work made in the course of employment” within the meaning of Section 17 of the Copyright Act, 1957, and shall vest exclusively in the Company.</w:t>
      </w:r>
    </w:p>
    <w:p>
      <w:pPr>
        <w:spacing w:before="80"/>
        <w:jc w:val="both"/>
      </w:pPr>
      <w:r>
        <w:rPr>
          <w:b/>
        </w:rPr>
        <w:t xml:space="preserve">9.3 </w:t>
      </w:r>
      <w:r>
        <w:rPr>
          <w:b/>
        </w:rPr>
        <w:t xml:space="preserve">Further Assurances. </w:t>
      </w:r>
      <w:r>
        <w:t>Each Founder shall, at the Company’s cost, execute and deliver all such documents and take all such actions as may be reasonably required by the Company to perfect, register, protect and enforce its rights in the Company IP, including the execution of Deeds of Assignment in respect of patents, trademarks, designs and copyrights with the relevant authorities in India and overseas.</w:t>
      </w:r>
    </w:p>
    <w:p>
      <w:pPr>
        <w:spacing w:before="80"/>
        <w:jc w:val="both"/>
      </w:pPr>
      <w:r>
        <w:rPr>
          <w:b/>
        </w:rPr>
        <w:t xml:space="preserve">9.4 </w:t>
      </w:r>
      <w:r>
        <w:rPr>
          <w:b/>
        </w:rPr>
        <w:t xml:space="preserve">Pre-Existing IP. </w:t>
      </w:r>
      <w:r>
        <w:t>Each Founder represents that he/she has disclosed in Schedule 5 (Pre-Existing Engagements &amp; IP) all Intellectual Property owned by such Founder or any third party as of the Effective Date that is, or may be, used in connection with the Business. To the extent any Pre-Existing IP is so used, the Founder hereby grants the Company a perpetual, irrevocable, worldwide, royalty-free, sub-licensable licence to use, modify, distribute and commercially exploit such Pre-Existing IP for the purposes of the Business.</w:t>
      </w:r>
    </w:p>
    <w:p>
      <w:pPr>
        <w:spacing w:before="80"/>
        <w:jc w:val="both"/>
      </w:pPr>
      <w:r>
        <w:rPr>
          <w:b/>
        </w:rPr>
        <w:t xml:space="preserve">9.5 </w:t>
      </w:r>
      <w:r>
        <w:rPr>
          <w:b/>
        </w:rPr>
        <w:t xml:space="preserve">No Infringement. </w:t>
      </w:r>
      <w:r>
        <w:t>Each Founder represents and warrants that the Company IP and any contributions made by such Founder do not, and will not, infringe the Intellectual Property or other rights of any third party.</w:t>
      </w:r>
    </w:p>
    <w:p>
      <w:pPr>
        <w:spacing w:before="240" w:after="80"/>
        <w:pBdr>
          <w:bottom w:val="single" w:sz="6" w:space="1" w:color="002060"/>
        </w:pBdr>
      </w:pPr>
      <w:r>
        <w:rPr>
          <w:b/>
          <w:color w:val="002060"/>
          <w:sz w:val="25"/>
        </w:rPr>
        <w:t>10.  CONFIDENTIALITY</w:t>
      </w:r>
    </w:p>
    <w:p>
      <w:pPr>
        <w:spacing w:before="80"/>
        <w:jc w:val="both"/>
      </w:pPr>
      <w:r>
        <w:rPr>
          <w:b/>
        </w:rPr>
        <w:t xml:space="preserve">10.1 </w:t>
      </w:r>
      <w:r>
        <w:rPr>
          <w:b/>
        </w:rPr>
        <w:t xml:space="preserve">Definition. </w:t>
      </w:r>
      <w:r>
        <w:t>“Confidential Information” means all non-public information of the Company, its Affiliates, customers, suppliers and partners, including business plans, financial information, customer lists, technical data, source code, designs, know-how, trade secrets, pricing, marketing strategies and all other information that a reasonable Person would understand to be confidential by its nature or the circumstances of disclosure.</w:t>
      </w:r>
    </w:p>
    <w:p>
      <w:pPr>
        <w:spacing w:before="80"/>
        <w:jc w:val="both"/>
      </w:pPr>
      <w:r>
        <w:rPr>
          <w:b/>
        </w:rPr>
        <w:t xml:space="preserve">10.2 </w:t>
      </w:r>
      <w:r>
        <w:rPr>
          <w:b/>
        </w:rPr>
        <w:t xml:space="preserve">Obligations. </w:t>
      </w:r>
      <w:r>
        <w:t>Each Founder shall, during the term of his/her association with the Company and perpetually thereafter (subject to applicable limitation laws), (i) hold all Confidential Information in strict confidence; (ii) not disclose Confidential Information to any third party; and (iii) use Confidential Information solely for the legitimate business purposes of the Company.</w:t>
      </w:r>
    </w:p>
    <w:p>
      <w:pPr>
        <w:spacing w:before="80"/>
        <w:jc w:val="both"/>
      </w:pPr>
      <w:r>
        <w:rPr>
          <w:b/>
        </w:rPr>
        <w:t xml:space="preserve">10.3 </w:t>
      </w:r>
      <w:r>
        <w:rPr>
          <w:b/>
        </w:rPr>
        <w:t xml:space="preserve">Exceptions. </w:t>
      </w:r>
      <w:r>
        <w:t>The obligations of confidentiality shall not apply to information which: (a) is or becomes publicly available without breach of this Agreement; (b) was lawfully in the Founder’s possession before disclosure without obligation of confidentiality; (c) is independently developed without use of Confidential Information; or (d) is required to be disclosed pursuant to Applicable Law or order of a court of competent jurisdiction, in which case the Founder shall promptly notify the Company in writing to enable it to seek a protective order.</w:t>
      </w:r>
    </w:p>
    <w:p>
      <w:pPr>
        <w:spacing w:before="80"/>
        <w:jc w:val="both"/>
      </w:pPr>
      <w:r>
        <w:rPr>
          <w:b/>
        </w:rPr>
        <w:t xml:space="preserve">10.4 </w:t>
      </w:r>
      <w:r>
        <w:rPr>
          <w:b/>
        </w:rPr>
        <w:t xml:space="preserve">Return of Materials. </w:t>
      </w:r>
      <w:r>
        <w:t>Upon cessation of association with the Company, each Founder shall promptly return or, at the Company’s option, destroy all Confidential Information in his/her possession or control, and certify such return or destruction in writing.</w:t>
      </w:r>
    </w:p>
    <w:p>
      <w:pPr>
        <w:spacing w:before="240" w:after="80"/>
        <w:pBdr>
          <w:bottom w:val="single" w:sz="6" w:space="1" w:color="002060"/>
        </w:pBdr>
      </w:pPr>
      <w:r>
        <w:rPr>
          <w:b/>
          <w:color w:val="002060"/>
          <w:sz w:val="25"/>
        </w:rPr>
        <w:t>11.  NON-COMPETE AND NON-SOLICITATION</w:t>
      </w:r>
    </w:p>
    <w:p>
      <w:pPr>
        <w:jc w:val="both"/>
      </w:pPr>
      <w:r>
        <w:rPr>
          <w:b w:val="0"/>
          <w:i/>
        </w:rPr>
        <w:t>The Parties acknowledge that, under Section 27 of the Indian Contract Act, 1872, agreements in restraint of trade are void to the extent they extend beyond the term of engagement, save and except in certain limited circumstances. The restrictions in Clause 11.1 below shall therefore apply during the term of association of the Founder with the Company; the post-termination restrictions in Clause 11.2 are limited to the use of Confidential Information and non-solicitation, which are well-recognised carve-outs.</w:t>
      </w:r>
    </w:p>
    <w:p>
      <w:pPr>
        <w:spacing w:before="80"/>
        <w:jc w:val="both"/>
      </w:pPr>
      <w:r>
        <w:rPr>
          <w:b/>
        </w:rPr>
        <w:t xml:space="preserve">11.1 </w:t>
      </w:r>
      <w:r>
        <w:rPr>
          <w:b/>
        </w:rPr>
        <w:t xml:space="preserve">During Association. </w:t>
      </w:r>
      <w:r>
        <w:t>During the term of his/her association with the Company, no Founder shall, directly or indirectly (whether as proprietor, partner, director, shareholder, employee, consultant, agent or in any other capacity), engage in or be associated with any business that competes with the Business of the Company in the Restricted Territory.</w:t>
      </w:r>
    </w:p>
    <w:p>
      <w:pPr>
        <w:spacing w:before="80"/>
        <w:jc w:val="both"/>
      </w:pPr>
      <w:r>
        <w:rPr>
          <w:b/>
        </w:rPr>
        <w:t xml:space="preserve">11.2 </w:t>
      </w:r>
      <w:r>
        <w:rPr>
          <w:b/>
        </w:rPr>
        <w:t xml:space="preserve">Post-Termination Restrictions. </w:t>
      </w:r>
      <w:r>
        <w:t>For a period of {{NON_SOLICIT_MONTHS}} ({{NON_SOLICIT_MONTHS_WORDS}}) months following cessation of association, no Founder shall, directly or indirectly:</w:t>
      </w:r>
    </w:p>
    <w:p>
      <w:pPr>
        <w:spacing w:before="40"/>
        <w:ind w:left="454"/>
        <w:jc w:val="both"/>
      </w:pPr>
      <w:r>
        <w:rPr>
          <w:b/>
        </w:rPr>
        <w:t xml:space="preserve">11.2.1 </w:t>
      </w:r>
      <w:r>
        <w:t>Solicit, induce or attempt to solicit any employee, consultant or advisor of the Company to leave their engagement with the Company;</w:t>
      </w:r>
    </w:p>
    <w:p>
      <w:pPr>
        <w:spacing w:before="40"/>
        <w:ind w:left="454"/>
        <w:jc w:val="both"/>
      </w:pPr>
      <w:r>
        <w:rPr>
          <w:b/>
        </w:rPr>
        <w:t xml:space="preserve">11.2.2 </w:t>
      </w:r>
      <w:r>
        <w:t>Solicit or attempt to solicit any customer, supplier or business partner of the Company with whom the Founder had material dealings in the twelve (12) months preceding cessation, for any business that competes with the Business; or</w:t>
      </w:r>
    </w:p>
    <w:p>
      <w:pPr>
        <w:spacing w:before="40"/>
        <w:ind w:left="454"/>
        <w:jc w:val="both"/>
      </w:pPr>
      <w:r>
        <w:rPr>
          <w:b/>
        </w:rPr>
        <w:t xml:space="preserve">11.2.3 </w:t>
      </w:r>
      <w:r>
        <w:t>Use any Confidential Information of the Company for any purpose whatsoever.</w:t>
      </w:r>
    </w:p>
    <w:p>
      <w:pPr>
        <w:spacing w:before="80"/>
        <w:jc w:val="both"/>
      </w:pPr>
      <w:r>
        <w:rPr>
          <w:b/>
        </w:rPr>
        <w:t xml:space="preserve">11.3 </w:t>
      </w:r>
      <w:r>
        <w:rPr>
          <w:b/>
        </w:rPr>
        <w:t xml:space="preserve">Reasonableness. </w:t>
      </w:r>
      <w:r>
        <w:t>Each Founder acknowledges that the restrictions in this Clause 11 are reasonable in scope, duration and geography, are necessary to protect the legitimate business interests of the Company, and that any breach would cause irreparable harm not adequately compensable in damages, entitling the Company to injunctive relief in addition to all other remedies.</w:t>
      </w:r>
    </w:p>
    <w:p>
      <w:pPr>
        <w:spacing w:before="80"/>
        <w:jc w:val="both"/>
      </w:pPr>
      <w:r>
        <w:rPr>
          <w:b/>
        </w:rPr>
        <w:t xml:space="preserve">11.4 </w:t>
      </w:r>
      <w:r>
        <w:rPr>
          <w:b/>
        </w:rPr>
        <w:t xml:space="preserve">Severability of Restrictions. </w:t>
      </w:r>
      <w:r>
        <w:t>If any restriction in this Clause 11 is held by a court of competent jurisdiction to be unenforceable for being excessive, the Parties agree that such restriction shall be modified to the minimum extent necessary to render it enforceable.</w:t>
      </w:r>
    </w:p>
    <w:p>
      <w:pPr>
        <w:spacing w:before="240" w:after="80"/>
        <w:pBdr>
          <w:bottom w:val="single" w:sz="6" w:space="1" w:color="002060"/>
        </w:pBdr>
      </w:pPr>
      <w:r>
        <w:rPr>
          <w:b/>
          <w:color w:val="002060"/>
          <w:sz w:val="25"/>
        </w:rPr>
        <w:t>12.  REPRESENTATIONS, WARRANTIES AND COVENANTS</w:t>
      </w:r>
    </w:p>
    <w:p>
      <w:pPr>
        <w:spacing w:before="80"/>
        <w:jc w:val="both"/>
      </w:pPr>
      <w:r>
        <w:rPr>
          <w:b/>
        </w:rPr>
        <w:t xml:space="preserve">12.1 </w:t>
      </w:r>
      <w:r>
        <w:rPr>
          <w:b/>
        </w:rPr>
        <w:t xml:space="preserve">Founder Representations. </w:t>
      </w:r>
      <w:r>
        <w:t>Each Founder represents and warrants to the Company and to each other Founder that, as of the Effective Date and at all times during the term of this Agreement:</w:t>
      </w:r>
    </w:p>
    <w:p>
      <w:pPr>
        <w:spacing w:before="40"/>
        <w:ind w:left="454"/>
        <w:jc w:val="both"/>
      </w:pPr>
      <w:r>
        <w:rPr>
          <w:b/>
        </w:rPr>
        <w:t xml:space="preserve">12.1.1 </w:t>
      </w:r>
      <w:r>
        <w:t>He/she has the full legal capacity, power and authority to enter into and perform this Agreement, which constitutes a legal, valid and binding obligation enforceable against him/her in accordance with its terms;</w:t>
      </w:r>
    </w:p>
    <w:p>
      <w:pPr>
        <w:spacing w:before="40"/>
        <w:ind w:left="454"/>
        <w:jc w:val="both"/>
      </w:pPr>
      <w:r>
        <w:rPr>
          <w:b/>
        </w:rPr>
        <w:t xml:space="preserve">12.1.2 </w:t>
      </w:r>
      <w:r>
        <w:t>The execution and performance of this Agreement does not violate any contract, employment agreement, non-compete, confidentiality, fiduciary or other obligation owed to any third party;</w:t>
      </w:r>
    </w:p>
    <w:p>
      <w:pPr>
        <w:spacing w:before="40"/>
        <w:ind w:left="454"/>
        <w:jc w:val="both"/>
      </w:pPr>
      <w:r>
        <w:rPr>
          <w:b/>
        </w:rPr>
        <w:t xml:space="preserve">12.1.3 </w:t>
      </w:r>
      <w:r>
        <w:t>He/she is not subject to any order, decree or judgment of any court or regulatory authority that would impair his/her ability to perform this Agreement;</w:t>
      </w:r>
    </w:p>
    <w:p>
      <w:pPr>
        <w:spacing w:before="40"/>
        <w:ind w:left="454"/>
        <w:jc w:val="both"/>
      </w:pPr>
      <w:r>
        <w:rPr>
          <w:b/>
        </w:rPr>
        <w:t xml:space="preserve">12.1.4 </w:t>
      </w:r>
      <w:r>
        <w:t>He/she is not a “wilful defaulter” or “fugitive economic offender” within the meaning of applicable Indian laws and has not been convicted of any offence involving moral turpitude;</w:t>
      </w:r>
    </w:p>
    <w:p>
      <w:pPr>
        <w:spacing w:before="40"/>
        <w:ind w:left="454"/>
        <w:jc w:val="both"/>
      </w:pPr>
      <w:r>
        <w:rPr>
          <w:b/>
        </w:rPr>
        <w:t xml:space="preserve">12.1.5 </w:t>
      </w:r>
      <w:r>
        <w:t>All information disclosed by him/her in Schedules 5 and 8 is true, complete and not misleading; and</w:t>
      </w:r>
    </w:p>
    <w:p>
      <w:pPr>
        <w:spacing w:before="40"/>
        <w:ind w:left="454"/>
        <w:jc w:val="both"/>
      </w:pPr>
      <w:r>
        <w:rPr>
          <w:b/>
        </w:rPr>
        <w:t xml:space="preserve">12.1.6 </w:t>
      </w:r>
      <w:r>
        <w:t>He/she shall comply with the Prevention of Corruption Act, 1988, the Prevention of Money Laundering Act, 2002, applicable anti-bribery laws and all other Applicable Laws in connection with the Business.</w:t>
      </w:r>
    </w:p>
    <w:p>
      <w:pPr>
        <w:spacing w:before="80"/>
        <w:jc w:val="both"/>
      </w:pPr>
      <w:r>
        <w:rPr>
          <w:b/>
        </w:rPr>
        <w:t xml:space="preserve">12.2 </w:t>
      </w:r>
      <w:r>
        <w:rPr>
          <w:b/>
        </w:rPr>
        <w:t xml:space="preserve">Company Representations. </w:t>
      </w:r>
      <w:r>
        <w:t>The Company (if already incorporated) represents and warrants that it is duly incorporated and validly existing under the laws of India, has full power and authority to enter into this Agreement, and the same constitutes its legal, valid and binding obligation.</w:t>
      </w:r>
    </w:p>
    <w:p>
      <w:pPr>
        <w:spacing w:before="240" w:after="80"/>
        <w:pBdr>
          <w:bottom w:val="single" w:sz="6" w:space="1" w:color="002060"/>
        </w:pBdr>
      </w:pPr>
      <w:r>
        <w:rPr>
          <w:b/>
          <w:color w:val="002060"/>
          <w:sz w:val="25"/>
        </w:rPr>
        <w:t>13.  INDEMNIFICATION</w:t>
      </w:r>
    </w:p>
    <w:p>
      <w:pPr>
        <w:spacing w:before="80"/>
        <w:jc w:val="both"/>
      </w:pPr>
      <w:r>
        <w:rPr>
          <w:b/>
        </w:rPr>
        <w:t xml:space="preserve">13.1 </w:t>
      </w:r>
      <w:r>
        <w:rPr>
          <w:b/>
        </w:rPr>
        <w:t xml:space="preserve">Indemnity by Founders. </w:t>
      </w:r>
      <w:r>
        <w:t>Each Founder (each, an “Indemnifying Founder”) shall indemnify, defend and hold harmless the Company and the other Founders from and against any and all losses, damages, liabilities, claims, costs and expenses (including reasonable attorneys’ fees) suffered or incurred by them arising out of or in connection with: (a) any breach of representations, warranties or covenants by such Indemnifying Founder; (b) any fraud, wilful misconduct or gross negligence by such Indemnifying Founder; (c) any breach of the IP, Confidentiality, Non-compete or Non-solicitation provisions; and (d) any third-party claim arising from the acts or omissions of such Indemnifying Founder outside the scope of his/her authority.</w:t>
      </w:r>
    </w:p>
    <w:p>
      <w:pPr>
        <w:spacing w:before="80"/>
        <w:jc w:val="both"/>
      </w:pPr>
      <w:r>
        <w:rPr>
          <w:b/>
        </w:rPr>
        <w:t xml:space="preserve">13.2 </w:t>
      </w:r>
      <w:r>
        <w:rPr>
          <w:b/>
        </w:rPr>
        <w:t xml:space="preserve">Limitations on Liability. </w:t>
      </w:r>
      <w:r>
        <w:t>Save for claims arising out of fraud, wilful misconduct, breach of confidentiality / IP / non-compete obligations, or any criminal act, the aggregate liability of each Founder under this Agreement shall not exceed {{INDEMNITY_CAP_MULTIPLE}}x the value of his/her Vested Shares calculated at the most recent fair market valuation.</w:t>
      </w:r>
    </w:p>
    <w:p>
      <w:pPr>
        <w:spacing w:before="80"/>
        <w:jc w:val="both"/>
      </w:pPr>
      <w:r>
        <w:rPr>
          <w:b/>
        </w:rPr>
        <w:t xml:space="preserve">13.3 </w:t>
      </w:r>
      <w:r>
        <w:rPr>
          <w:b/>
        </w:rPr>
        <w:t xml:space="preserve">Indemnification Procedure. </w:t>
      </w:r>
      <w:r>
        <w:t>The Indemnified Party shall promptly notify the Indemnifying Founder in writing of any indemnifiable claim, and the Indemnifying Founder shall have the right (but not the obligation) to assume the defence of such claim with counsel reasonably acceptable to the Indemnified Party. No settlement shall be entered into without the prior written consent of the Indemnified Party.</w:t>
      </w:r>
    </w:p>
    <w:p>
      <w:pPr>
        <w:spacing w:before="240" w:after="80"/>
        <w:pBdr>
          <w:bottom w:val="single" w:sz="6" w:space="1" w:color="002060"/>
        </w:pBdr>
      </w:pPr>
      <w:r>
        <w:rPr>
          <w:b/>
          <w:color w:val="002060"/>
          <w:sz w:val="25"/>
        </w:rPr>
        <w:t>14.  DEPARTURE OF A FOUNDER (GOOD LEAVER / BAD LEAVER)</w:t>
      </w:r>
    </w:p>
    <w:p>
      <w:pPr>
        <w:spacing w:before="80"/>
        <w:jc w:val="both"/>
      </w:pPr>
      <w:r>
        <w:rPr>
          <w:b/>
        </w:rPr>
        <w:t xml:space="preserve">14.1 </w:t>
      </w:r>
      <w:r>
        <w:rPr>
          <w:b/>
        </w:rPr>
        <w:t xml:space="preserve">Cessation Events. </w:t>
      </w:r>
      <w:r>
        <w:t>A Founder shall be deemed to have ceased to be associated with the Company (a “Departing Founder”) upon the occurrence of any of the following events: (a) resignation; (b) termination by the Board for Cause or without Cause; (c) death; or (d) permanent disability rendering the Founder incapable of discharging his/her duties for a continuous period of {{DISABILITY_MONTHS}} months or more.</w:t>
      </w:r>
    </w:p>
    <w:p>
      <w:pPr>
        <w:spacing w:before="80"/>
        <w:jc w:val="both"/>
      </w:pPr>
      <w:r>
        <w:rPr>
          <w:b/>
        </w:rPr>
        <w:t xml:space="preserve">14.2 </w:t>
      </w:r>
      <w:r>
        <w:rPr>
          <w:b/>
        </w:rPr>
        <w:t xml:space="preserve">Good Leaver. </w:t>
      </w:r>
      <w:r>
        <w:t>A Departing Founder shall be a “Good Leaver” if his/her departure is on account of (i) death; (ii) permanent disability; (iii) termination by the Board without Cause; or (iv) resignation after completion of a minimum of {{GOOD_LEAVER_MIN_TENURE_YEARS}} years of service with the Company, provided that the Founder has complied with applicable notice periods.</w:t>
      </w:r>
    </w:p>
    <w:p>
      <w:pPr>
        <w:spacing w:before="80"/>
        <w:jc w:val="both"/>
      </w:pPr>
      <w:r>
        <w:rPr>
          <w:b/>
        </w:rPr>
        <w:t xml:space="preserve">14.3 </w:t>
      </w:r>
      <w:r>
        <w:rPr>
          <w:b/>
        </w:rPr>
        <w:t xml:space="preserve">Bad Leaver. </w:t>
      </w:r>
      <w:r>
        <w:t>A Departing Founder shall be a “Bad Leaver” if his/her departure is on account of (i) termination by the Board for Cause; (ii) resignation before the completion of {{GOOD_LEAVER_MIN_TENURE_YEARS}} years of service; or (iii) material breach of this Agreement that remains uncured for {{CURE_PERIOD_DAYS}} days after written notice. “Cause” shall include (a) fraud, wilful misconduct, gross negligence or dishonesty; (b) conviction of any offence involving moral turpitude; (c) material breach of fiduciary duty to the Company; (d) breach of the IP, Confidentiality, Non-compete or Non-solicitation provisions; and (e) repeated unauthorised absence from duty.</w:t>
      </w:r>
    </w:p>
    <w:p>
      <w:pPr>
        <w:spacing w:before="80"/>
        <w:jc w:val="both"/>
      </w:pPr>
      <w:r>
        <w:rPr>
          <w:b/>
        </w:rPr>
        <w:t xml:space="preserve">14.4 </w:t>
      </w:r>
      <w:r>
        <w:rPr>
          <w:b/>
        </w:rPr>
        <w:t xml:space="preserve">Consequences. </w:t>
      </w:r>
      <w:r>
        <w:t>Upon a Founder becoming a Departing Founder:</w:t>
      </w:r>
    </w:p>
    <w:p>
      <w:pPr>
        <w:spacing w:before="40"/>
        <w:ind w:left="454"/>
        <w:jc w:val="both"/>
      </w:pPr>
      <w:r>
        <w:rPr>
          <w:b/>
        </w:rPr>
        <w:t xml:space="preserve">14.4.1 </w:t>
      </w:r>
      <w:r>
        <w:t>All Unvested Shares of the Departing Founder shall be subject to repurchase by the Company / Continuing Founders at face value in accordance with Clause 5.4;</w:t>
      </w:r>
    </w:p>
    <w:p>
      <w:pPr>
        <w:spacing w:before="40"/>
        <w:ind w:left="454"/>
        <w:jc w:val="both"/>
      </w:pPr>
      <w:r>
        <w:rPr>
          <w:b/>
        </w:rPr>
        <w:t xml:space="preserve">14.4.2 </w:t>
      </w:r>
      <w:r>
        <w:t>If the Departing Founder is a Good Leaver, his/her Vested Shares may be retained by the Departing Founder, OR (at the election of the Continuing Founders) repurchased at the Fair Market Value (as determined under Clause 14.5);</w:t>
      </w:r>
    </w:p>
    <w:p>
      <w:pPr>
        <w:spacing w:before="40"/>
        <w:ind w:left="454"/>
        <w:jc w:val="both"/>
      </w:pPr>
      <w:r>
        <w:rPr>
          <w:b/>
        </w:rPr>
        <w:t xml:space="preserve">14.4.3 </w:t>
      </w:r>
      <w:r>
        <w:t>If the Departing Founder is a Bad Leaver, his/her Vested Shares may be repurchased by the Company / Continuing Founders at the lower of (a) the original purchase price; and (b) {{BAD_LEAVER_DISCOUNT_PERCENT}}% of the Fair Market Value;</w:t>
      </w:r>
    </w:p>
    <w:p>
      <w:pPr>
        <w:spacing w:before="40"/>
        <w:ind w:left="454"/>
        <w:jc w:val="both"/>
      </w:pPr>
      <w:r>
        <w:rPr>
          <w:b/>
        </w:rPr>
        <w:t xml:space="preserve">14.4.4 </w:t>
      </w:r>
      <w:r>
        <w:t>The Departing Founder shall promptly resign from all directorships, offices and committees of the Company and execute such documents as the Board may reasonably require;</w:t>
      </w:r>
    </w:p>
    <w:p>
      <w:pPr>
        <w:spacing w:before="40"/>
        <w:ind w:left="454"/>
        <w:jc w:val="both"/>
      </w:pPr>
      <w:r>
        <w:rPr>
          <w:b/>
        </w:rPr>
        <w:t xml:space="preserve">14.4.5 </w:t>
      </w:r>
      <w:r>
        <w:t>The Departing Founder shall return all Company property, devices, passwords, access credentials and Confidential Information; and</w:t>
      </w:r>
    </w:p>
    <w:p>
      <w:pPr>
        <w:spacing w:before="40"/>
        <w:ind w:left="454"/>
        <w:jc w:val="both"/>
      </w:pPr>
      <w:r>
        <w:rPr>
          <w:b/>
        </w:rPr>
        <w:t xml:space="preserve">14.4.6 </w:t>
      </w:r>
      <w:r>
        <w:t>The post-termination restrictions in Clause 11.2 shall continue to apply.</w:t>
      </w:r>
    </w:p>
    <w:p>
      <w:pPr>
        <w:spacing w:before="80"/>
        <w:jc w:val="both"/>
      </w:pPr>
      <w:r>
        <w:rPr>
          <w:b/>
        </w:rPr>
        <w:t xml:space="preserve">14.5 </w:t>
      </w:r>
      <w:r>
        <w:rPr>
          <w:b/>
        </w:rPr>
        <w:t xml:space="preserve">Fair Market Value (FMV). </w:t>
      </w:r>
      <w:r>
        <w:t>For the purposes of this Clause, “Fair Market Value” shall mean the price per share determined by an independent valuer registered under Section 247 of the Act, or as agreed in writing amongst the Parties. The cost of valuation shall be borne by the Company.</w:t>
      </w:r>
    </w:p>
    <w:p>
      <w:pPr>
        <w:spacing w:before="80"/>
        <w:jc w:val="both"/>
      </w:pPr>
      <w:r>
        <w:rPr>
          <w:b/>
        </w:rPr>
        <w:t xml:space="preserve">14.6 </w:t>
      </w:r>
      <w:r>
        <w:rPr>
          <w:b/>
        </w:rPr>
        <w:t xml:space="preserve">Notice Period. </w:t>
      </w:r>
      <w:r>
        <w:t>A Founder voluntarily resigning shall provide not less than {{RESIGNATION_NOTICE_DAYS}} days’ prior written notice to the Board. The Company may, at its discretion, (a) require the Founder to serve such notice; (b) place the Founder on garden leave; or (c) waive any unexpired portion of the notice period.</w:t>
      </w:r>
    </w:p>
    <w:p>
      <w:pPr>
        <w:spacing w:before="240" w:after="80"/>
        <w:pBdr>
          <w:bottom w:val="single" w:sz="6" w:space="1" w:color="002060"/>
        </w:pBdr>
      </w:pPr>
      <w:r>
        <w:rPr>
          <w:b/>
          <w:color w:val="002060"/>
          <w:sz w:val="25"/>
        </w:rPr>
        <w:t>15.  DEADLOCK RESOLUTION</w:t>
      </w:r>
    </w:p>
    <w:p>
      <w:pPr>
        <w:spacing w:before="80"/>
        <w:jc w:val="both"/>
      </w:pPr>
      <w:r>
        <w:rPr>
          <w:b/>
        </w:rPr>
        <w:t xml:space="preserve">15.1 </w:t>
      </w:r>
      <w:r>
        <w:rPr>
          <w:b/>
        </w:rPr>
        <w:t xml:space="preserve">Deadlock. </w:t>
      </w:r>
      <w:r>
        <w:t>A “Deadlock” shall be deemed to occur if the Board or the shareholders are unable to pass a resolution on any Reserved Matter or any matter material to the Business, on two consecutive meetings held not less than {{DEADLOCK_GAP_DAYS}} days apart.</w:t>
      </w:r>
    </w:p>
    <w:p>
      <w:pPr>
        <w:spacing w:before="80"/>
        <w:jc w:val="both"/>
      </w:pPr>
      <w:r>
        <w:rPr>
          <w:b/>
        </w:rPr>
        <w:t xml:space="preserve">15.2 </w:t>
      </w:r>
      <w:r>
        <w:rPr>
          <w:b/>
        </w:rPr>
        <w:t xml:space="preserve">Escalation. </w:t>
      </w:r>
      <w:r>
        <w:t>Upon occurrence of a Deadlock, the matter shall be escalated to a meeting of all the Founders, to be held within {{ESCALATION_DAYS}} days. The Founders shall in good faith negotiate a resolution.</w:t>
      </w:r>
    </w:p>
    <w:p>
      <w:pPr>
        <w:spacing w:before="80"/>
        <w:jc w:val="both"/>
      </w:pPr>
      <w:r>
        <w:rPr>
          <w:b/>
        </w:rPr>
        <w:t xml:space="preserve">15.3 </w:t>
      </w:r>
      <w:r>
        <w:rPr>
          <w:b/>
        </w:rPr>
        <w:t xml:space="preserve">Mediation. </w:t>
      </w:r>
      <w:r>
        <w:t>If the Deadlock is not resolved within {{MEDIATION_TRIGGER_DAYS}} days of the escalation, the Parties shall first attempt mediation through a sole mediator appointed by mutual consent (or, failing such consent, by the {{MEDIATION_INSTITUTION}}).</w:t>
      </w:r>
    </w:p>
    <w:p>
      <w:pPr>
        <w:spacing w:before="80"/>
        <w:jc w:val="both"/>
      </w:pPr>
      <w:r>
        <w:rPr>
          <w:b/>
        </w:rPr>
        <w:t xml:space="preserve">15.4 </w:t>
      </w:r>
      <w:r>
        <w:rPr>
          <w:b/>
        </w:rPr>
        <w:t xml:space="preserve">Buy-Sell (Russian Roulette) [Optional]. </w:t>
      </w:r>
      <w:r>
        <w:t>If the Deadlock subsists for more than {{BUY_SELL_TRIGGER_DAYS}} days from the date of escalation, any Founder may serve a written notice (the “Offer Notice”) on the other Founder(s) offering to either (a) sell all of his/her Vested Shares; OR (b) purchase all of the Vested Shares of the other Founder(s), in either case at a price per share specified in the Offer Notice. The recipient Founder(s) shall, within {{BUY_SELL_RESPONSE_DAYS}} days, elect either to buy or sell at such price. This Clause 15.4 shall apply only if specifically opted into by the Parties in Schedule 9.</w:t>
      </w:r>
    </w:p>
    <w:p>
      <w:pPr>
        <w:spacing w:before="240" w:after="80"/>
        <w:pBdr>
          <w:bottom w:val="single" w:sz="6" w:space="1" w:color="002060"/>
        </w:pBdr>
      </w:pPr>
      <w:r>
        <w:rPr>
          <w:b/>
          <w:color w:val="002060"/>
          <w:sz w:val="25"/>
        </w:rPr>
        <w:t>16.  TERM AND TERMINATION</w:t>
      </w:r>
    </w:p>
    <w:p>
      <w:pPr>
        <w:spacing w:before="80"/>
        <w:jc w:val="both"/>
      </w:pPr>
      <w:r>
        <w:rPr>
          <w:b/>
        </w:rPr>
        <w:t xml:space="preserve">16.1 </w:t>
      </w:r>
      <w:r>
        <w:rPr>
          <w:b/>
        </w:rPr>
        <w:t xml:space="preserve">Term. </w:t>
      </w:r>
      <w:r>
        <w:t>This Agreement shall come into force on the Effective Date and shall continue to be in force until terminated in accordance with Clause 16.2 or by mutual written consent of all the Parties, or until superseded by a Shareholders’ Agreement (only to the extent of overlap and only as expressly stated therein).</w:t>
      </w:r>
    </w:p>
    <w:p>
      <w:pPr>
        <w:spacing w:before="80"/>
        <w:jc w:val="both"/>
      </w:pPr>
      <w:r>
        <w:rPr>
          <w:b/>
        </w:rPr>
        <w:t xml:space="preserve">16.2 </w:t>
      </w:r>
      <w:r>
        <w:rPr>
          <w:b/>
        </w:rPr>
        <w:t xml:space="preserve">Termination in respect of a Founder. </w:t>
      </w:r>
      <w:r>
        <w:t>This Agreement shall terminate in respect of a particular Founder upon: (a) such Founder ceasing to hold any shares in the Company; or (b) such Founder becoming a Departing Founder, save for the provisions intended to survive (Clauses 9, 10, 11, 13, 17, 18 and this Clause 16).</w:t>
      </w:r>
    </w:p>
    <w:p>
      <w:pPr>
        <w:spacing w:before="80"/>
        <w:jc w:val="both"/>
      </w:pPr>
      <w:r>
        <w:rPr>
          <w:b/>
        </w:rPr>
        <w:t xml:space="preserve">16.3 </w:t>
      </w:r>
      <w:r>
        <w:rPr>
          <w:b/>
        </w:rPr>
        <w:t xml:space="preserve">Effect of Termination. </w:t>
      </w:r>
      <w:r>
        <w:t>Termination of this Agreement shall not affect any rights, remedies or obligations that have accrued prior to such termination.</w:t>
      </w:r>
    </w:p>
    <w:p>
      <w:pPr>
        <w:spacing w:before="240" w:after="80"/>
        <w:pBdr>
          <w:bottom w:val="single" w:sz="6" w:space="1" w:color="002060"/>
        </w:pBdr>
      </w:pPr>
      <w:r>
        <w:rPr>
          <w:b/>
          <w:color w:val="002060"/>
          <w:sz w:val="25"/>
        </w:rPr>
        <w:t>17.  GOVERNING LAW AND DISPUTE RESOLUTION</w:t>
      </w:r>
    </w:p>
    <w:p>
      <w:pPr>
        <w:spacing w:before="80"/>
        <w:jc w:val="both"/>
      </w:pPr>
      <w:r>
        <w:rPr>
          <w:b/>
        </w:rPr>
        <w:t xml:space="preserve">17.1 </w:t>
      </w:r>
      <w:r>
        <w:rPr>
          <w:b/>
        </w:rPr>
        <w:t xml:space="preserve">Governing Law. </w:t>
      </w:r>
      <w:r>
        <w:t>This Agreement shall be governed by, and construed in accordance with, the laws of the Republic of India.</w:t>
      </w:r>
    </w:p>
    <w:p>
      <w:pPr>
        <w:spacing w:before="80"/>
        <w:jc w:val="both"/>
      </w:pPr>
      <w:r>
        <w:rPr>
          <w:b/>
        </w:rPr>
        <w:t xml:space="preserve">17.2 </w:t>
      </w:r>
      <w:r>
        <w:rPr>
          <w:b/>
        </w:rPr>
        <w:t xml:space="preserve">Amicable Settlement. </w:t>
      </w:r>
      <w:r>
        <w:t>In the event of any dispute, controversy or claim arising out of, relating to, or in connection with this Agreement (a “Dispute”), the Parties shall first attempt in good faith to resolve the same by mutual negotiation for a period of {{NEGOTIATION_DAYS}} days.</w:t>
      </w:r>
    </w:p>
    <w:p>
      <w:pPr>
        <w:spacing w:before="80"/>
        <w:jc w:val="both"/>
      </w:pPr>
      <w:r>
        <w:rPr>
          <w:b/>
        </w:rPr>
        <w:t xml:space="preserve">17.3 </w:t>
      </w:r>
      <w:r>
        <w:rPr>
          <w:b/>
        </w:rPr>
        <w:t xml:space="preserve">Arbitration. </w:t>
      </w:r>
      <w:r>
        <w:t>If the Dispute is not resolved within the negotiation period, it shall be referred to and finally resolved by arbitration in accordance with the Arbitration and Conciliation Act, 1996, as amended. The arbitral tribunal shall consist of {{ARBITRATOR_NUMBER}} arbitrator(s) appointed in accordance with the {{ARBITRATION_INSTITUTION_RULES}} (e.g., Mumbai Centre for International Arbitration (MCIA) Rules / Delhi International Arbitration Centre (DIAC) Rules). The seat and venue of arbitration shall be {{ARBITRATION_SEAT_CITY}}, India. The language of arbitration shall be English. The arbitral award shall be final and binding on the Parties.</w:t>
      </w:r>
    </w:p>
    <w:p>
      <w:pPr>
        <w:spacing w:before="80"/>
        <w:jc w:val="both"/>
      </w:pPr>
      <w:r>
        <w:rPr>
          <w:b/>
        </w:rPr>
        <w:t xml:space="preserve">17.4 </w:t>
      </w:r>
      <w:r>
        <w:rPr>
          <w:b/>
        </w:rPr>
        <w:t xml:space="preserve">Jurisdiction. </w:t>
      </w:r>
      <w:r>
        <w:t>Subject to Clause 17.3, the courts at {{JURISDICTION_CITY}}, India shall have exclusive jurisdiction to entertain any application under the Arbitration and Conciliation Act, 1996 (including under Sections 9, 11, 27, 34, 36 and 37) and any matters not capable of being resolved by arbitration.</w:t>
      </w:r>
    </w:p>
    <w:p>
      <w:pPr>
        <w:spacing w:before="80"/>
        <w:jc w:val="both"/>
      </w:pPr>
      <w:r>
        <w:rPr>
          <w:b/>
        </w:rPr>
        <w:t xml:space="preserve">17.5 </w:t>
      </w:r>
      <w:r>
        <w:rPr>
          <w:b/>
        </w:rPr>
        <w:t xml:space="preserve">Interim Relief. </w:t>
      </w:r>
      <w:r>
        <w:t>Notwithstanding the foregoing, any Party shall be entitled to seek interim or injunctive relief from any court of competent jurisdiction.</w:t>
      </w:r>
    </w:p>
    <w:p>
      <w:pPr>
        <w:spacing w:before="240" w:after="80"/>
        <w:pBdr>
          <w:bottom w:val="single" w:sz="6" w:space="1" w:color="002060"/>
        </w:pBdr>
      </w:pPr>
      <w:r>
        <w:rPr>
          <w:b/>
          <w:color w:val="002060"/>
          <w:sz w:val="25"/>
        </w:rPr>
        <w:t>18.  MISCELLANEOUS</w:t>
      </w:r>
    </w:p>
    <w:p>
      <w:pPr>
        <w:spacing w:before="80"/>
        <w:jc w:val="both"/>
      </w:pPr>
      <w:r>
        <w:rPr>
          <w:b/>
        </w:rPr>
        <w:t xml:space="preserve">18.1 </w:t>
      </w:r>
      <w:r>
        <w:rPr>
          <w:b/>
        </w:rPr>
        <w:t xml:space="preserve">Notices. </w:t>
      </w:r>
      <w:r>
        <w:t>All notices, requests, demands and other communications under this Agreement shall be in writing and shall be deemed duly given when delivered: (a) by hand against written acknowledgement; (b) by registered post / speed post with acknowledgement due; (c) by an internationally recognised courier service; or (d) by email to the email address set out in Schedule 10 (Notices), with confirmation of delivery and subsequent dispatch of a hard copy.</w:t>
      </w:r>
    </w:p>
    <w:p>
      <w:pPr>
        <w:spacing w:before="80"/>
        <w:jc w:val="both"/>
      </w:pPr>
      <w:r>
        <w:rPr>
          <w:b/>
        </w:rPr>
        <w:t xml:space="preserve">18.2 </w:t>
      </w:r>
      <w:r>
        <w:rPr>
          <w:b/>
        </w:rPr>
        <w:t xml:space="preserve">Entire Agreement. </w:t>
      </w:r>
      <w:r>
        <w:t>This Agreement, together with its Schedules and the Memorandum and Articles of Association, constitutes the entire agreement between the Parties with respect to the subject matter hereof and supersedes all prior discussions, understandings, term sheets and agreements, whether oral or written, in respect thereof.</w:t>
      </w:r>
    </w:p>
    <w:p>
      <w:pPr>
        <w:spacing w:before="80"/>
        <w:jc w:val="both"/>
      </w:pPr>
      <w:r>
        <w:rPr>
          <w:b/>
        </w:rPr>
        <w:t xml:space="preserve">18.3 </w:t>
      </w:r>
      <w:r>
        <w:rPr>
          <w:b/>
        </w:rPr>
        <w:t xml:space="preserve">Amendments. </w:t>
      </w:r>
      <w:r>
        <w:t>No amendment, modification or waiver of any provision of this Agreement shall be effective unless made in writing and signed by all the Parties.</w:t>
      </w:r>
    </w:p>
    <w:p>
      <w:pPr>
        <w:spacing w:before="80"/>
        <w:jc w:val="both"/>
      </w:pPr>
      <w:r>
        <w:rPr>
          <w:b/>
        </w:rPr>
        <w:t xml:space="preserve">18.4 </w:t>
      </w:r>
      <w:r>
        <w:rPr>
          <w:b/>
        </w:rPr>
        <w:t xml:space="preserve">Severability. </w:t>
      </w:r>
      <w:r>
        <w:t>If any provision of this Agreement is held to be invalid, illegal or unenforceable, the validity, legality and enforceability of the remaining provisions shall not be affected, and the Parties shall negotiate in good faith to replace the invalid provision with one that achieves, to the maximum extent permissible, the original commercial intent.</w:t>
      </w:r>
    </w:p>
    <w:p>
      <w:pPr>
        <w:spacing w:before="80"/>
        <w:jc w:val="both"/>
      </w:pPr>
      <w:r>
        <w:rPr>
          <w:b/>
        </w:rPr>
        <w:t xml:space="preserve">18.5 </w:t>
      </w:r>
      <w:r>
        <w:rPr>
          <w:b/>
        </w:rPr>
        <w:t xml:space="preserve">Waiver. </w:t>
      </w:r>
      <w:r>
        <w:t>No failure or delay by a Party in exercising any right shall operate as a waiver thereof; nor shall any single or partial exercise preclude any other or further exercise.</w:t>
      </w:r>
    </w:p>
    <w:p>
      <w:pPr>
        <w:spacing w:before="80"/>
        <w:jc w:val="both"/>
      </w:pPr>
      <w:r>
        <w:rPr>
          <w:b/>
        </w:rPr>
        <w:t xml:space="preserve">18.6 </w:t>
      </w:r>
      <w:r>
        <w:rPr>
          <w:b/>
        </w:rPr>
        <w:t xml:space="preserve">Assignment. </w:t>
      </w:r>
      <w:r>
        <w:t>No Party shall assign or transfer any of its rights or obligations under this Agreement without the prior written consent of the other Parties.</w:t>
      </w:r>
    </w:p>
    <w:p>
      <w:pPr>
        <w:spacing w:before="80"/>
        <w:jc w:val="both"/>
      </w:pPr>
      <w:r>
        <w:rPr>
          <w:b/>
        </w:rPr>
        <w:t xml:space="preserve">18.7 </w:t>
      </w:r>
      <w:r>
        <w:rPr>
          <w:b/>
        </w:rPr>
        <w:t xml:space="preserve">Counterparts &amp; Electronic Signatures. </w:t>
      </w:r>
      <w:r>
        <w:t>This Agreement may be executed in any number of counterparts, each of which shall be deemed an original. Counterparts may be exchanged by electronic transmission (including by email or e-signature platform compliant with the Information Technology Act, 2000), which shall be deemed valid execution.</w:t>
      </w:r>
    </w:p>
    <w:p>
      <w:pPr>
        <w:spacing w:before="80"/>
        <w:jc w:val="both"/>
      </w:pPr>
      <w:r>
        <w:rPr>
          <w:b/>
        </w:rPr>
        <w:t xml:space="preserve">18.8 </w:t>
      </w:r>
      <w:r>
        <w:rPr>
          <w:b/>
        </w:rPr>
        <w:t xml:space="preserve">Force Majeure. </w:t>
      </w:r>
      <w:r>
        <w:t>No Party shall be liable for any failure or delay in performance of its obligations (except payment obligations) to the extent such failure or delay is caused by circumstances beyond its reasonable control, including acts of God, war, terrorism, epidemics, pandemics, governmental orders or natural disasters.</w:t>
      </w:r>
    </w:p>
    <w:p>
      <w:pPr>
        <w:spacing w:before="80"/>
        <w:jc w:val="both"/>
      </w:pPr>
      <w:r>
        <w:rPr>
          <w:b/>
        </w:rPr>
        <w:t xml:space="preserve">18.9 </w:t>
      </w:r>
      <w:r>
        <w:rPr>
          <w:b/>
        </w:rPr>
        <w:t xml:space="preserve">Costs and Expenses. </w:t>
      </w:r>
      <w:r>
        <w:t>Each Party shall bear its own costs in connection with the negotiation and execution of this Agreement. Stamp duty and registration charges (if applicable) shall be borne by the Company.</w:t>
      </w:r>
    </w:p>
    <w:p>
      <w:pPr>
        <w:spacing w:before="80"/>
        <w:jc w:val="both"/>
      </w:pPr>
      <w:r>
        <w:rPr>
          <w:b/>
        </w:rPr>
        <w:t xml:space="preserve">18.10 </w:t>
      </w:r>
      <w:r>
        <w:rPr>
          <w:b/>
        </w:rPr>
        <w:t xml:space="preserve">Stamp Duty. </w:t>
      </w:r>
      <w:r>
        <w:t>This Agreement shall be stamped in accordance with the Indian Stamp Act, 1899, or the applicable State Stamp Act of {{STAMP_DUTY_STATE}}. Insufficient stamping may render this Agreement inadmissible in evidence; the Parties shall ensure proper stamping prior to execution.</w:t>
      </w:r>
    </w:p>
    <w:p>
      <w:pPr>
        <w:spacing w:before="80"/>
        <w:jc w:val="both"/>
      </w:pPr>
      <w:r>
        <w:rPr>
          <w:b/>
        </w:rPr>
        <w:t xml:space="preserve">18.11 </w:t>
      </w:r>
      <w:r>
        <w:rPr>
          <w:b/>
        </w:rPr>
        <w:t xml:space="preserve">Survival. </w:t>
      </w:r>
      <w:r>
        <w:t>Clauses 1, 9, 10, 11, 12, 13, 17 and 18 (and any other provision intended by its nature to survive) shall survive the termination or expiration of this Agreement.</w:t>
      </w:r>
    </w:p>
    <w:p>
      <w:pPr>
        <w:spacing w:before="80"/>
        <w:jc w:val="both"/>
      </w:pPr>
      <w:r>
        <w:rPr>
          <w:b/>
        </w:rPr>
        <w:t xml:space="preserve">18.12 </w:t>
      </w:r>
      <w:r>
        <w:rPr>
          <w:b/>
        </w:rPr>
        <w:t xml:space="preserve">Independent Legal Advice. </w:t>
      </w:r>
      <w:r>
        <w:t>Each Party acknowledges that he/she has had the opportunity to obtain independent legal advice in respect of this Agreement and is entering into it of his/her own free will and understanding.</w:t>
      </w:r>
    </w:p>
    <w:p>
      <w:pPr>
        <w:spacing w:before="80"/>
        <w:jc w:val="both"/>
      </w:pPr>
      <w:r>
        <w:rPr>
          <w:b/>
        </w:rPr>
        <w:t xml:space="preserve">18.13 </w:t>
      </w:r>
      <w:r>
        <w:rPr>
          <w:b/>
        </w:rPr>
        <w:t xml:space="preserve">Language. </w:t>
      </w:r>
      <w:r>
        <w:t>This Agreement has been executed in the English language, which shall be the controlling language for all purposes.</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hereto have caused this Founders’ Agreement to be executed on the day, month and year first hereinabove written, in the presence of the witnesses signing below.</w:t>
      </w:r>
    </w:p>
    <w:p/>
    <w:p>
      <w:pPr>
        <w:spacing w:before="360"/>
      </w:pPr>
      <w:r>
        <w:rPr>
          <w:b/>
          <w:sz w:val="22"/>
        </w:rPr>
        <w:t>For and on behalf of FOUNDER 1</w:t>
      </w:r>
    </w:p>
    <w:p/>
    <w:p>
      <w:r>
        <w:t>_________________________________</w:t>
      </w:r>
    </w:p>
    <w:p>
      <w:r>
        <w:rPr>
          <w:b/>
        </w:rPr>
        <w:t>Name: {{FOUNDER_1_NAME}}</w:t>
      </w:r>
    </w:p>
    <w:p>
      <w:r>
        <w:t>Designation: {{FOUNDER_1_DESIGNATION}}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2</w:t>
      </w:r>
    </w:p>
    <w:p/>
    <w:p>
      <w:r>
        <w:t>_________________________________</w:t>
      </w:r>
    </w:p>
    <w:p>
      <w:r>
        <w:rPr>
          <w:b/>
        </w:rPr>
        <w:t>Name: {{FOUNDER_2_NAME}}</w:t>
      </w:r>
    </w:p>
    <w:p>
      <w:r>
        <w:t>Designation: {{FOUNDER_2_DESIGNATION}}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FOUNDER 3</w:t>
      </w:r>
    </w:p>
    <w:p/>
    <w:p>
      <w:r>
        <w:t>_________________________________</w:t>
      </w:r>
    </w:p>
    <w:p>
      <w:r>
        <w:rPr>
          <w:b/>
        </w:rPr>
        <w:t>Name: {{FOUNDER_3_NAME}}</w:t>
      </w:r>
    </w:p>
    <w:p>
      <w:r>
        <w:t>Designation: {{FOUNDER_3_DESIGNATION}}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BUSINESS PLAN / SCOPE OF BUSINESS</w:t>
      </w:r>
    </w:p>
    <w:p>
      <w:pPr>
        <w:jc w:val="both"/>
      </w:pPr>
      <w:r>
        <w:rPr>
          <w:b w:val="0"/>
          <w:i w:val="0"/>
        </w:rPr>
        <w:t>Brief description of the Business: {{BUSINESS_DESCRIPTION}}</w:t>
      </w:r>
    </w:p>
    <w:p>
      <w:pPr>
        <w:jc w:val="both"/>
      </w:pPr>
      <w:r>
        <w:rPr>
          <w:b w:val="0"/>
          <w:i w:val="0"/>
        </w:rPr>
        <w:t>Vision: {{COMPANY_VISION}}</w:t>
      </w:r>
    </w:p>
    <w:p>
      <w:pPr>
        <w:jc w:val="both"/>
      </w:pPr>
      <w:r>
        <w:rPr>
          <w:b w:val="0"/>
          <w:i w:val="0"/>
        </w:rPr>
        <w:t>Mission: {{COMPANY_MISSION}}</w:t>
      </w:r>
    </w:p>
    <w:p>
      <w:pPr>
        <w:jc w:val="both"/>
      </w:pPr>
      <w:r>
        <w:rPr>
          <w:b w:val="0"/>
          <w:i w:val="0"/>
        </w:rPr>
        <w:t>Key Products / Services: {{KEY_PRODUCTS_SERVICES}}</w:t>
      </w:r>
    </w:p>
    <w:p>
      <w:pPr>
        <w:jc w:val="both"/>
      </w:pPr>
      <w:r>
        <w:rPr>
          <w:b w:val="0"/>
          <w:i w:val="0"/>
        </w:rPr>
        <w:t>Target Market &amp; Geography: {{TARGET_MARKET}}</w:t>
      </w:r>
    </w:p>
    <w:p>
      <w:pPr>
        <w:jc w:val="both"/>
      </w:pPr>
      <w:r>
        <w:rPr>
          <w:b w:val="0"/>
          <w:i w:val="0"/>
        </w:rPr>
        <w:t>Initial Milestones (next 12 months): {{INITIAL_MILESTONES}}</w:t>
      </w:r>
    </w:p>
    <w:p>
      <w:pPr>
        <w:jc w:val="both"/>
      </w:pPr>
      <w:r>
        <w:rPr>
          <w:b w:val="0"/>
          <w:i w:val="0"/>
        </w:rPr>
        <w:t>Funding Plan (next 18 months): {{FUNDING_PLAN}}</w:t>
      </w:r>
    </w:p>
    <w:p>
      <w:r>
        <w:br w:type="page"/>
      </w:r>
    </w:p>
    <w:p>
      <w:pPr>
        <w:spacing w:before="240" w:after="80"/>
        <w:pBdr>
          <w:bottom w:val="single" w:sz="6" w:space="1" w:color="002060"/>
        </w:pBdr>
      </w:pPr>
      <w:r>
        <w:rPr>
          <w:b/>
          <w:color w:val="002060"/>
          <w:sz w:val="25"/>
        </w:rPr>
        <w:t>SCHEDULE 2 — CAPITALISATION TABLE (POST-ALLOTMENT)</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Shareholder</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No. of Shares</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Face Value (₹)</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Subscription Amount (₹)</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(Fully Diluted)</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{{FOUNDER_1_SHARES}}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{{FACE_VALUE_INR}}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{{FOUNDER_1_SUBSCRIPTION_AMOUNT}}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{{FOUNDER_1_PERCENT}}%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{{FOUNDER_2_SHARES}}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{{FACE_VALUE_INR}}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{{FOUNDER_2_SUBSCRIPTION_AMOUNT}}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{{FOUNDER_2_PERCENT}}%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{{FOUNDER_3_SHARES}}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{{FACE_VALUE_INR}}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{{FOUNDER_3_SUBSCRIPTION_AMOUNT}}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{{FOUNDER_3_PERCENT}}%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ESOP Pool (reserved/unallotted)</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{{ESOP_POOL_SHARES}}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{{ESOP_POOL_PERCENT}}%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{{TOTAL_SHARES}}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{{TOTAL_SUBSCRIPTION}}</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100%</w:t>
            </w:r>
          </w:p>
        </w:tc>
      </w:tr>
    </w:tbl>
    <w:p/>
    <w:p>
      <w:r>
        <w:br w:type="page"/>
      </w:r>
    </w:p>
    <w:p>
      <w:pPr>
        <w:spacing w:before="240" w:after="80"/>
        <w:pBdr>
          <w:bottom w:val="single" w:sz="6" w:space="1" w:color="002060"/>
        </w:pBdr>
      </w:pPr>
      <w:r>
        <w:rPr>
          <w:b/>
          <w:color w:val="002060"/>
          <w:sz w:val="25"/>
        </w:rPr>
        <w:t>SCHEDULE 3 — VESTING SCHEDULE</w:t>
      </w:r>
    </w:p>
    <w:p>
      <w:pPr>
        <w:jc w:val="both"/>
      </w:pPr>
      <w:r>
        <w:rPr>
          <w:b w:val="0"/>
          <w:i w:val="0"/>
        </w:rPr>
        <w:t>The Founder Shares of each Founder shall Vest as follows: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w:t>
            </w:r>
          </w:p>
        </w:tc>
        <w:tc>
          <w:tcPr>
            <w:tcW w:type="dxa" w:w="192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Vesting Commencement Date</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Cliff Period (Months)</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Total Vesting Period (Months)</w:t>
            </w:r>
          </w:p>
        </w:tc>
        <w:tc>
          <w:tcPr>
            <w:tcW w:type="dxa" w:w="209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Acceleration Trigger</w:t>
            </w:r>
          </w:p>
        </w:tc>
      </w:tr>
      <w:tr>
        <w:tc>
          <w:tcPr>
            <w:tcW w:type="dxa" w:w="2041"/>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{{FOUNDER_1_VESTING_START_DATE}}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{{CLIFF_PERIOD_MONTHS}}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{{VESTING_TOTAL_MONTHS}}</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{{FOUNDER_1_ACCEL_TRIGGER}} (Single/Double)</w:t>
            </w:r>
          </w:p>
        </w:tc>
      </w:tr>
      <w:tr>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{{FOUNDER_2_VESTING_START_DATE}}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{{CLIFF_PERIOD_MONTHS}}</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{{VESTING_TOTAL_MONTHS}}</w:t>
            </w:r>
          </w:p>
        </w:tc>
        <w:tc>
          <w:tcPr>
            <w:tcW w:type="dxa" w:w="209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{{FOUNDER_2_ACCEL_TRIGGER}} (Single/Double)</w:t>
            </w:r>
          </w:p>
        </w:tc>
      </w:tr>
      <w:tr>
        <w:tc>
          <w:tcPr>
            <w:tcW w:type="dxa" w:w="2041"/>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{{FOUNDER_3_VESTING_START_DATE}}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{{CLIFF_PERIOD_MONTHS}}</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{{VESTING_TOTAL_MONTHS}}</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{{FOUNDER_3_ACCEL_TRIGGER}} (Single/Double)</w:t>
            </w:r>
          </w:p>
        </w:tc>
      </w:tr>
    </w:tbl>
    <w:p/>
    <w:p>
      <w:pPr>
        <w:jc w:val="both"/>
      </w:pPr>
      <w:r>
        <w:rPr>
          <w:b w:val="0"/>
          <w:i w:val="0"/>
        </w:rPr>
        <w:t>Vesting Frequency post-Cliff: {{VESTING_FREQUENCY}} (e.g., monthly / quarterly).</w:t>
      </w:r>
    </w:p>
    <w:p>
      <w:r>
        <w:br w:type="page"/>
      </w:r>
    </w:p>
    <w:p>
      <w:pPr>
        <w:spacing w:before="240" w:after="80"/>
        <w:pBdr>
          <w:bottom w:val="single" w:sz="6" w:space="1" w:color="002060"/>
        </w:pBdr>
      </w:pPr>
      <w:r>
        <w:rPr>
          <w:b/>
          <w:color w:val="002060"/>
          <w:sz w:val="25"/>
        </w:rPr>
        <w:t>SCHEDULE 4 — RESERVED MATTERS</w:t>
      </w:r>
    </w:p>
    <w:p>
      <w:pPr>
        <w:jc w:val="both"/>
      </w:pPr>
      <w:r>
        <w:rPr>
          <w:b w:val="0"/>
          <w:i w:val="0"/>
        </w:rPr>
        <w:t>The following matters shall require the prior written consent of all Founders (whether as shareholders or through their Board nominees, as applicable):</w:t>
      </w:r>
    </w:p>
    <w:p>
      <w:pPr>
        <w:pStyle w:val="ListBullet"/>
        <w:spacing w:after="40"/>
        <w:ind w:left="567"/>
        <w:jc w:val="both"/>
      </w:pPr>
      <w:r>
        <w:t>Any alteration of the Memorandum or Articles of Association of the Company;</w:t>
      </w:r>
    </w:p>
    <w:p>
      <w:pPr>
        <w:pStyle w:val="ListBullet"/>
        <w:spacing w:after="40"/>
        <w:ind w:left="567"/>
        <w:jc w:val="both"/>
      </w:pPr>
      <w:r>
        <w:t>Any change in the capital structure, including issuance of new shares, convertible instruments, ESOPs (beyond the agreed pool), share buy-back or capital reduction;</w:t>
      </w:r>
    </w:p>
    <w:p>
      <w:pPr>
        <w:pStyle w:val="ListBullet"/>
        <w:spacing w:after="40"/>
        <w:ind w:left="567"/>
        <w:jc w:val="both"/>
      </w:pPr>
      <w:r>
        <w:t>Approval of annual business plan, budget and any deviation exceeding {{BUDGET_DEVIATION_PERCENT}}% from the approved budget;</w:t>
      </w:r>
    </w:p>
    <w:p>
      <w:pPr>
        <w:pStyle w:val="ListBullet"/>
        <w:spacing w:after="40"/>
        <w:ind w:left="567"/>
        <w:jc w:val="both"/>
      </w:pPr>
      <w:r>
        <w:t>Commencement of any new line of business or material change in the Business;</w:t>
      </w:r>
    </w:p>
    <w:p>
      <w:pPr>
        <w:pStyle w:val="ListBullet"/>
        <w:spacing w:after="40"/>
        <w:ind w:left="567"/>
        <w:jc w:val="both"/>
      </w:pPr>
      <w:r>
        <w:t>Any merger, demerger, amalgamation, scheme of arrangement, sale of substantially all assets, voluntary winding-up, dissolution or liquidation of the Company;</w:t>
      </w:r>
    </w:p>
    <w:p>
      <w:pPr>
        <w:pStyle w:val="ListBullet"/>
        <w:spacing w:after="40"/>
        <w:ind w:left="567"/>
        <w:jc w:val="both"/>
      </w:pPr>
      <w:r>
        <w:t>Borrowing of money or creation of Encumbrance over Company assets exceeding ₹ {{BORROWING_THRESHOLD_INR}};</w:t>
      </w:r>
    </w:p>
    <w:p>
      <w:pPr>
        <w:pStyle w:val="ListBullet"/>
        <w:spacing w:after="40"/>
        <w:ind w:left="567"/>
        <w:jc w:val="both"/>
      </w:pPr>
      <w:r>
        <w:t>Capital expenditure exceeding ₹ {{CAPEX_THRESHOLD_INR}} in a single transaction or in the aggregate in any financial year;</w:t>
      </w:r>
    </w:p>
    <w:p>
      <w:pPr>
        <w:pStyle w:val="ListBullet"/>
        <w:spacing w:after="40"/>
        <w:ind w:left="567"/>
        <w:jc w:val="both"/>
      </w:pPr>
      <w:r>
        <w:t>Appointment or removal of statutory auditors, internal auditors or company secretary;</w:t>
      </w:r>
    </w:p>
    <w:p>
      <w:pPr>
        <w:pStyle w:val="ListBullet"/>
        <w:spacing w:after="40"/>
        <w:ind w:left="567"/>
        <w:jc w:val="both"/>
      </w:pPr>
      <w:r>
        <w:t>Appointment, removal or change in the terms of remuneration of any director or Key Managerial Personnel;</w:t>
      </w:r>
    </w:p>
    <w:p>
      <w:pPr>
        <w:pStyle w:val="ListBullet"/>
        <w:spacing w:after="40"/>
        <w:ind w:left="567"/>
        <w:jc w:val="both"/>
      </w:pPr>
      <w:r>
        <w:t>Entering into any related-party transactions otherwise than in the ordinary course of business and on arm’s length terms (Section 188 of the Act);</w:t>
      </w:r>
    </w:p>
    <w:p>
      <w:pPr>
        <w:pStyle w:val="ListBullet"/>
        <w:spacing w:after="40"/>
        <w:ind w:left="567"/>
        <w:jc w:val="both"/>
      </w:pPr>
      <w:r>
        <w:t>Initiation or settlement of litigation or arbitration involving claims exceeding ₹ {{LITIGATION_THRESHOLD_INR}};</w:t>
      </w:r>
    </w:p>
    <w:p>
      <w:pPr>
        <w:pStyle w:val="ListBullet"/>
        <w:spacing w:after="40"/>
        <w:ind w:left="567"/>
        <w:jc w:val="both"/>
      </w:pPr>
      <w:r>
        <w:t>Declaration of dividend or distribution of profits;</w:t>
      </w:r>
    </w:p>
    <w:p>
      <w:pPr>
        <w:pStyle w:val="ListBullet"/>
        <w:spacing w:after="40"/>
        <w:ind w:left="567"/>
        <w:jc w:val="both"/>
      </w:pPr>
      <w:r>
        <w:t>Adoption of, or any material change to, the Company’s ESOP / equity incentive plan;</w:t>
      </w:r>
    </w:p>
    <w:p>
      <w:pPr>
        <w:pStyle w:val="ListBullet"/>
        <w:spacing w:after="40"/>
        <w:ind w:left="567"/>
        <w:jc w:val="both"/>
      </w:pPr>
      <w:r>
        <w:t>Acquisition, sale or disposal of any subsidiary, joint venture or material investment;</w:t>
      </w:r>
    </w:p>
    <w:p>
      <w:pPr>
        <w:pStyle w:val="ListBullet"/>
        <w:spacing w:after="40"/>
        <w:ind w:left="567"/>
        <w:jc w:val="both"/>
      </w:pPr>
      <w:r>
        <w:t>Entering into any agreement materially impacting the Company’s Intellectual Property;</w:t>
      </w:r>
    </w:p>
    <w:p>
      <w:pPr>
        <w:pStyle w:val="ListBullet"/>
        <w:spacing w:after="40"/>
        <w:ind w:left="567"/>
        <w:jc w:val="both"/>
      </w:pPr>
      <w:r>
        <w:t>Change in the Company’s registered office, place of business or financial year;</w:t>
      </w:r>
    </w:p>
    <w:p>
      <w:pPr>
        <w:pStyle w:val="ListBullet"/>
        <w:spacing w:after="40"/>
        <w:ind w:left="567"/>
        <w:jc w:val="both"/>
      </w:pPr>
      <w:r>
        <w:t>Filing of any voluntary insolvency or bankruptcy proceedings.</w:t>
      </w:r>
    </w:p>
    <w:p>
      <w:r>
        <w:br w:type="page"/>
      </w:r>
    </w:p>
    <w:p>
      <w:pPr>
        <w:spacing w:before="240" w:after="80"/>
        <w:pBdr>
          <w:bottom w:val="single" w:sz="6" w:space="1" w:color="002060"/>
        </w:pBdr>
      </w:pPr>
      <w:r>
        <w:rPr>
          <w:b/>
          <w:color w:val="002060"/>
          <w:sz w:val="25"/>
        </w:rPr>
        <w:t>SCHEDULE 5 — PRE-EXISTING ENGAGEMENTS &amp; INTELLECTUAL PROPERTY</w:t>
      </w:r>
    </w:p>
    <w:p>
      <w:pPr>
        <w:spacing w:before="160" w:after="60"/>
      </w:pPr>
      <w:r>
        <w:rPr>
          <w:b/>
          <w:color w:val="002060"/>
          <w:sz w:val="23"/>
        </w:rPr>
        <w:t>Part A — Pre-Existing Engagements / Conflicts of Interest</w:t>
      </w:r>
    </w:p>
    <w:p>
      <w:pPr>
        <w:jc w:val="both"/>
      </w:pPr>
      <w:r>
        <w:rPr>
          <w:b w:val="0"/>
          <w:i w:val="0"/>
        </w:rPr>
        <w:t>{{PRE_EXISTING_ENGAGEMENTS_DESCRIPTION}}</w:t>
      </w:r>
    </w:p>
    <w:p>
      <w:pPr>
        <w:spacing w:before="160" w:after="60"/>
      </w:pPr>
      <w:r>
        <w:rPr>
          <w:b/>
          <w:color w:val="002060"/>
          <w:sz w:val="23"/>
        </w:rPr>
        <w:t>Part B — Pre-Existing Intellectual Property</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w:t>
            </w:r>
          </w:p>
        </w:tc>
        <w:tc>
          <w:tcPr>
            <w:tcW w:type="dxa" w:w="294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Description of IP</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Type (Code/Patent/Design/etc.)</w:t>
            </w:r>
          </w:p>
        </w:tc>
        <w:tc>
          <w:tcPr>
            <w:tcW w:type="dxa" w:w="215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Status (Licensed/Assigned)</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2948"/>
            <w:tcBorders>
              <w:top w:val="single" w:sz="4" w:color="808080"/>
              <w:left w:val="single" w:sz="4" w:color="808080"/>
              <w:bottom w:val="single" w:sz="4" w:color="808080"/>
              <w:right w:val="single" w:sz="4" w:color="808080"/>
            </w:tcBorders>
            <w:vAlign w:val="center"/>
          </w:tcPr>
          <w:p>
            <w:pPr>
              <w:jc w:val="left"/>
            </w:pPr>
            <w:r/>
            <w:r>
              <w:rPr>
                <w:sz w:val="21"/>
              </w:rPr>
              <w:t>{{FOUNDER_1_PRE_IP_DESC}}</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{{FOUNDER_1_PRE_IP_TYPE}}</w:t>
            </w:r>
          </w:p>
        </w:tc>
        <w:tc>
          <w:tcPr>
            <w:tcW w:type="dxa" w:w="2154"/>
            <w:tcBorders>
              <w:top w:val="single" w:sz="4" w:color="808080"/>
              <w:left w:val="single" w:sz="4" w:color="808080"/>
              <w:bottom w:val="single" w:sz="4" w:color="808080"/>
              <w:right w:val="single" w:sz="4" w:color="808080"/>
            </w:tcBorders>
            <w:vAlign w:val="center"/>
          </w:tcPr>
          <w:p>
            <w:pPr>
              <w:jc w:val="left"/>
            </w:pPr>
            <w:r/>
            <w:r>
              <w:rPr>
                <w:sz w:val="21"/>
              </w:rPr>
              <w:t>{{FOUNDER_1_PRE_IP_STATUS}}</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294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{{FOUNDER_2_PRE_IP_DESC}}</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{{FOUNDER_2_PRE_IP_TYPE}}</w:t>
            </w:r>
          </w:p>
        </w:tc>
        <w:tc>
          <w:tcPr>
            <w:tcW w:type="dxa" w:w="215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{{FOUNDER_2_PRE_IP_STATUS}}</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2948"/>
            <w:tcBorders>
              <w:top w:val="single" w:sz="4" w:color="808080"/>
              <w:left w:val="single" w:sz="4" w:color="808080"/>
              <w:bottom w:val="single" w:sz="4" w:color="808080"/>
              <w:right w:val="single" w:sz="4" w:color="808080"/>
            </w:tcBorders>
            <w:vAlign w:val="center"/>
          </w:tcPr>
          <w:p>
            <w:pPr>
              <w:jc w:val="left"/>
            </w:pPr>
            <w:r/>
            <w:r>
              <w:rPr>
                <w:sz w:val="21"/>
              </w:rPr>
              <w:t>{{FOUNDER_3_PRE_IP_DESC}}</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{{FOUNDER_3_PRE_IP_TYPE}}</w:t>
            </w:r>
          </w:p>
        </w:tc>
        <w:tc>
          <w:tcPr>
            <w:tcW w:type="dxa" w:w="2154"/>
            <w:tcBorders>
              <w:top w:val="single" w:sz="4" w:color="808080"/>
              <w:left w:val="single" w:sz="4" w:color="808080"/>
              <w:bottom w:val="single" w:sz="4" w:color="808080"/>
              <w:right w:val="single" w:sz="4" w:color="808080"/>
            </w:tcBorders>
            <w:vAlign w:val="center"/>
          </w:tcPr>
          <w:p>
            <w:pPr>
              <w:jc w:val="left"/>
            </w:pPr>
            <w:r/>
            <w:r>
              <w:rPr>
                <w:sz w:val="21"/>
              </w:rPr>
              <w:t>{{FOUNDER_3_PRE_IP_STATUS}}</w:t>
            </w:r>
          </w:p>
        </w:tc>
      </w:tr>
    </w:tbl>
    <w:p/>
    <w:p>
      <w:r>
        <w:br w:type="page"/>
      </w:r>
    </w:p>
    <w:p>
      <w:pPr>
        <w:spacing w:before="240" w:after="80"/>
        <w:pBdr>
          <w:bottom w:val="single" w:sz="6" w:space="1" w:color="002060"/>
        </w:pBdr>
      </w:pPr>
      <w:r>
        <w:rPr>
          <w:b/>
          <w:color w:val="002060"/>
          <w:sz w:val="25"/>
        </w:rPr>
        <w:t>SCHEDULE 6 — ROLES, DESIGNATIONS AND KEY RESPONSIBILITY AREAS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w:t>
            </w:r>
          </w:p>
        </w:tc>
        <w:tc>
          <w:tcPr>
            <w:tcW w:type="dxa" w:w="192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Designation</w:t>
            </w:r>
          </w:p>
        </w:tc>
        <w:tc>
          <w:tcPr>
            <w:tcW w:type="dxa" w:w="192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Functional Area</w:t>
            </w:r>
          </w:p>
        </w:tc>
        <w:tc>
          <w:tcPr>
            <w:tcW w:type="dxa" w:w="351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Key Responsibility Areas (KRAs)</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{{FOUNDER_1_DESIGNATION}}</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{{FOUNDER_1_FUNCTION}}</w:t>
            </w:r>
          </w:p>
        </w:tc>
        <w:tc>
          <w:tcPr>
            <w:tcW w:type="dxa" w:w="3515"/>
            <w:tcBorders>
              <w:top w:val="single" w:sz="4" w:color="808080"/>
              <w:left w:val="single" w:sz="4" w:color="808080"/>
              <w:bottom w:val="single" w:sz="4" w:color="808080"/>
              <w:right w:val="single" w:sz="4" w:color="808080"/>
            </w:tcBorders>
            <w:vAlign w:val="center"/>
          </w:tcPr>
          <w:p>
            <w:pPr>
              <w:jc w:val="left"/>
            </w:pPr>
            <w:r/>
            <w:r>
              <w:rPr>
                <w:sz w:val="21"/>
              </w:rPr>
              <w:t>{{FOUNDER_1_KRAS}}</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{{FOUNDER_2_DESIGNATION}}</w:t>
            </w:r>
          </w:p>
        </w:tc>
        <w:tc>
          <w:tcPr>
            <w:tcW w:type="dxa" w:w="192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{{FOUNDER_2_FUNCTION}}</w:t>
            </w:r>
          </w:p>
        </w:tc>
        <w:tc>
          <w:tcPr>
            <w:tcW w:type="dxa" w:w="351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{{FOUNDER_2_KRAS}}</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{{FOUNDER_3_DESIGNATION}}</w:t>
            </w:r>
          </w:p>
        </w:tc>
        <w:tc>
          <w:tcPr>
            <w:tcW w:type="dxa" w:w="1928"/>
            <w:tcBorders>
              <w:top w:val="single" w:sz="4" w:color="808080"/>
              <w:left w:val="single" w:sz="4" w:color="808080"/>
              <w:bottom w:val="single" w:sz="4" w:color="808080"/>
              <w:right w:val="single" w:sz="4" w:color="808080"/>
            </w:tcBorders>
            <w:vAlign w:val="center"/>
          </w:tcPr>
          <w:p>
            <w:pPr>
              <w:jc w:val="left"/>
            </w:pPr>
            <w:r/>
            <w:r>
              <w:rPr>
                <w:sz w:val="21"/>
              </w:rPr>
              <w:t>{{FOUNDER_3_FUNCTION}}</w:t>
            </w:r>
          </w:p>
        </w:tc>
        <w:tc>
          <w:tcPr>
            <w:tcW w:type="dxa" w:w="3515"/>
            <w:tcBorders>
              <w:top w:val="single" w:sz="4" w:color="808080"/>
              <w:left w:val="single" w:sz="4" w:color="808080"/>
              <w:bottom w:val="single" w:sz="4" w:color="808080"/>
              <w:right w:val="single" w:sz="4" w:color="808080"/>
            </w:tcBorders>
            <w:vAlign w:val="center"/>
          </w:tcPr>
          <w:p>
            <w:pPr>
              <w:jc w:val="left"/>
            </w:pPr>
            <w:r/>
            <w:r>
              <w:rPr>
                <w:sz w:val="21"/>
              </w:rPr>
              <w:t>{{FOUNDER_3_KRAS}}</w:t>
            </w:r>
          </w:p>
        </w:tc>
      </w:tr>
    </w:tbl>
    <w:p/>
    <w:p>
      <w:r>
        <w:br w:type="page"/>
      </w:r>
    </w:p>
    <w:p>
      <w:pPr>
        <w:spacing w:before="240" w:after="80"/>
        <w:pBdr>
          <w:bottom w:val="single" w:sz="6" w:space="1" w:color="002060"/>
        </w:pBdr>
      </w:pPr>
      <w:r>
        <w:rPr>
          <w:b/>
          <w:color w:val="002060"/>
          <w:sz w:val="25"/>
        </w:rPr>
        <w:t>SCHEDULE 7 — FOUNDER COMPENSATION</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87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w:t>
            </w:r>
          </w:p>
        </w:tc>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Monthly Gross Salary (₹)</w:t>
            </w:r>
          </w:p>
        </w:tc>
        <w:tc>
          <w:tcPr>
            <w:tcW w:type="dxa" w:w="158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Annual CTC (₹)</w:t>
            </w:r>
          </w:p>
        </w:tc>
        <w:tc>
          <w:tcPr>
            <w:tcW w:type="dxa" w:w="209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Variable / Performance Bonus</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Effective From</w:t>
            </w:r>
          </w:p>
        </w:tc>
      </w:tr>
      <w:tr>
        <w:tc>
          <w:tcPr>
            <w:tcW w:type="dxa" w:w="1871"/>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{{FOUNDER_1_MONTHLY_SALARY}}</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{{FOUNDER_1_CTC}}</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{{FOUNDER_1_BONUS}}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{{FOUNDER_1_COMP_EFFECTIVE_DATE}}</w:t>
            </w:r>
          </w:p>
        </w:tc>
      </w:tr>
      <w:tr>
        <w:tc>
          <w:tcPr>
            <w:tcW w:type="dxa" w:w="187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{{FOUNDER_2_MONTHLY_SALARY}}</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{{FOUNDER_2_CTC}}</w:t>
            </w:r>
          </w:p>
        </w:tc>
        <w:tc>
          <w:tcPr>
            <w:tcW w:type="dxa" w:w="209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{{FOUNDER_2_BONUS}}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{{FOUNDER_2_COMP_EFFECTIVE_DATE}}</w:t>
            </w:r>
          </w:p>
        </w:tc>
      </w:tr>
      <w:tr>
        <w:tc>
          <w:tcPr>
            <w:tcW w:type="dxa" w:w="1871"/>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1814"/>
            <w:tcBorders>
              <w:top w:val="single" w:sz="4" w:color="808080"/>
              <w:left w:val="single" w:sz="4" w:color="808080"/>
              <w:bottom w:val="single" w:sz="4" w:color="808080"/>
              <w:right w:val="single" w:sz="4" w:color="808080"/>
            </w:tcBorders>
            <w:vAlign w:val="center"/>
          </w:tcPr>
          <w:p>
            <w:pPr>
              <w:jc w:val="left"/>
            </w:pPr>
            <w:r/>
            <w:r>
              <w:rPr>
                <w:sz w:val="21"/>
              </w:rPr>
              <w:t>{{FOUNDER_3_MONTHLY_SALARY}}</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{{FOUNDER_3_CTC}}</w:t>
            </w:r>
          </w:p>
        </w:tc>
        <w:tc>
          <w:tcPr>
            <w:tcW w:type="dxa" w:w="2098"/>
            <w:tcBorders>
              <w:top w:val="single" w:sz="4" w:color="808080"/>
              <w:left w:val="single" w:sz="4" w:color="808080"/>
              <w:bottom w:val="single" w:sz="4" w:color="808080"/>
              <w:right w:val="single" w:sz="4" w:color="808080"/>
            </w:tcBorders>
            <w:vAlign w:val="center"/>
          </w:tcPr>
          <w:p>
            <w:pPr>
              <w:jc w:val="left"/>
            </w:pPr>
            <w:r/>
            <w:r>
              <w:rPr>
                <w:sz w:val="21"/>
              </w:rPr>
              <w:t>{{FOUNDER_3_BONUS}}</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{{FOUNDER_3_COMP_EFFECTIVE_DATE}}</w:t>
            </w:r>
          </w:p>
        </w:tc>
      </w:tr>
    </w:tbl>
    <w:p/>
    <w:p>
      <w:pPr>
        <w:jc w:val="both"/>
      </w:pPr>
      <w:r>
        <w:rPr>
          <w:b w:val="0"/>
          <w:i w:val="0"/>
        </w:rPr>
        <w:t>Note: Salaries are subject to TDS under Section 192 of the Income-tax Act, 1961, EPF contribution (where applicable) under the Employees’ Provident Funds and Miscellaneous Provisions Act, 1952, ESI under the Employees’ State Insurance Act, 1948 (subject to wage ceiling), and Professional Tax under applicable State laws.</w:t>
      </w:r>
    </w:p>
    <w:p>
      <w:r>
        <w:br w:type="page"/>
      </w:r>
    </w:p>
    <w:p>
      <w:pPr>
        <w:spacing w:before="240" w:after="80"/>
        <w:pBdr>
          <w:bottom w:val="single" w:sz="6" w:space="1" w:color="002060"/>
        </w:pBdr>
      </w:pPr>
      <w:r>
        <w:rPr>
          <w:b/>
          <w:color w:val="002060"/>
          <w:sz w:val="25"/>
        </w:rPr>
        <w:t>SCHEDULE 8 — DISCLOSURES BY FOUNDERS</w:t>
      </w:r>
    </w:p>
    <w:p>
      <w:pPr>
        <w:jc w:val="both"/>
      </w:pPr>
      <w:r>
        <w:rPr>
          <w:b w:val="0"/>
          <w:i w:val="0"/>
        </w:rPr>
        <w:t>Each Founder has disclosed the following in respect of representations and warranties under Clause 12:</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87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Founder</w:t>
            </w:r>
          </w:p>
        </w:tc>
        <w:tc>
          <w:tcPr>
            <w:tcW w:type="dxa" w:w="238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Pending Litigation / Investigation</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Existing Directorships / Partnerships</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Other Material Disclosures</w:t>
            </w:r>
          </w:p>
        </w:tc>
      </w:tr>
      <w:tr>
        <w:tc>
          <w:tcPr>
            <w:tcW w:type="dxa" w:w="1871"/>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{{FOUNDER_1_LITIGATION}}</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{{FOUNDER_1_OTHER_DIRECTORSHIPS}}</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{{FOUNDER_1_OTHER_DISCLOSURES}}</w:t>
            </w:r>
          </w:p>
        </w:tc>
      </w:tr>
      <w:tr>
        <w:tc>
          <w:tcPr>
            <w:tcW w:type="dxa" w:w="187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{{FOUNDER_2_LITIGATION}}</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{{FOUNDER_2_OTHER_DIRECTORSHIPS}}</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{{FOUNDER_2_OTHER_DISCLOSURES}}</w:t>
            </w:r>
          </w:p>
        </w:tc>
      </w:tr>
      <w:tr>
        <w:tc>
          <w:tcPr>
            <w:tcW w:type="dxa" w:w="1871"/>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t>{{FOUNDER_3_LITIGATION}}</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{{FOUNDER_3_OTHER_DIRECTORSHIPS}}</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{{FOUNDER_3_OTHER_DISCLOSURES}}</w:t>
            </w:r>
          </w:p>
        </w:tc>
      </w:tr>
    </w:tbl>
    <w:p/>
    <w:p>
      <w:r>
        <w:br w:type="page"/>
      </w:r>
    </w:p>
    <w:p>
      <w:pPr>
        <w:spacing w:before="240" w:after="80"/>
        <w:pBdr>
          <w:bottom w:val="single" w:sz="6" w:space="1" w:color="002060"/>
        </w:pBdr>
      </w:pPr>
      <w:r>
        <w:rPr>
          <w:b/>
          <w:color w:val="002060"/>
          <w:sz w:val="25"/>
        </w:rPr>
        <w:t>SCHEDULE 9 — BUY-SELL (RUSSIAN ROULETTE) OPT-IN</w:t>
      </w:r>
    </w:p>
    <w:p>
      <w:pPr>
        <w:jc w:val="both"/>
      </w:pPr>
      <w:r>
        <w:rPr>
          <w:b w:val="0"/>
          <w:i w:val="0"/>
        </w:rPr>
        <w:t>Buy-Sell mechanism under Clause 15.4 shall apply: {{BUY_SELL_OPT_IN}} (Yes / No).</w:t>
      </w:r>
    </w:p>
    <w:p>
      <w:pPr>
        <w:jc w:val="both"/>
      </w:pPr>
      <w:r>
        <w:rPr>
          <w:b w:val="0"/>
          <w:i w:val="0"/>
        </w:rPr>
        <w:t>If Yes, the trigger conditions and procedure shall be as set out in Clause 15.4.</w:t>
      </w:r>
    </w:p>
    <w:p>
      <w:r>
        <w:br w:type="page"/>
      </w:r>
    </w:p>
    <w:p>
      <w:pPr>
        <w:spacing w:before="240" w:after="80"/>
        <w:pBdr>
          <w:bottom w:val="single" w:sz="6" w:space="1" w:color="002060"/>
        </w:pBdr>
      </w:pPr>
      <w:r>
        <w:rPr>
          <w:b/>
          <w:color w:val="002060"/>
          <w:sz w:val="25"/>
        </w:rPr>
        <w:t>SCHEDULE 10 — NOTICES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Postal Address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Attention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{{FOUNDER_1_NAME}}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{{FOUNDER_1_NOTICE_ADDRESS}}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{{FOUNDER_1_EMAIL}}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{{FOUNDER_2_NAME}}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{{FOUNDER_2_EMAIL}}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{{FOUNDER_3_NAME}}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{{FOUNDER_3_NOTICE_ADDRESS}}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{{FOUNDER_3_EMAIL}}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{{COMPANY_NAME}}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{{COMPANY_NOTICE_EMAIL}}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{{COMPANY_NOTICE_ATTENTION}}</w:t>
            </w:r>
          </w:p>
        </w:tc>
      </w:tr>
    </w:tbl>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Stamp Duty: Founders’ Agreements are commonly executed on stamp paper of value as prescribed by the State in which the Agreement is executed. Refer to the relevant State Stamp Act. For example, in Maharashtra and Karnataka, stamp duty for such agreements is ₹ 100 to ₹ 500. Some States may treat it as an agreement under Article 5 of the relevant Schedule. Consult local counsel for the exact rate.</w:t>
      </w:r>
    </w:p>
    <w:p>
      <w:pPr>
        <w:pStyle w:val="ListBullet"/>
        <w:spacing w:after="40"/>
        <w:ind w:left="567"/>
        <w:jc w:val="both"/>
      </w:pPr>
      <w:r>
        <w:t>Notarisation is optional but recommended for evidentiary value.</w:t>
      </w:r>
    </w:p>
    <w:p>
      <w:pPr>
        <w:pStyle w:val="ListBullet"/>
        <w:spacing w:after="40"/>
        <w:ind w:left="567"/>
        <w:jc w:val="both"/>
      </w:pPr>
      <w:r>
        <w:t>Registration is NOT mandatory for a Founders’ Agreement under the Registration Act, 1908, unless it creates an interest in immovable property.</w:t>
      </w:r>
    </w:p>
    <w:p>
      <w:pPr>
        <w:pStyle w:val="ListBullet"/>
        <w:spacing w:after="40"/>
        <w:ind w:left="567"/>
        <w:jc w:val="both"/>
      </w:pPr>
      <w:r>
        <w:t>If the Company is not yet incorporated, ensure the Agreement is ratified by the Board post-incorporation (per Specific Relief Act / common-law adoption principles).</w:t>
      </w:r>
    </w:p>
    <w:p>
      <w:pPr>
        <w:pStyle w:val="ListBullet"/>
        <w:spacing w:after="40"/>
        <w:ind w:left="567"/>
        <w:jc w:val="both"/>
      </w:pPr>
      <w:r>
        <w:t>Where investors come on board, this Agreement should be read with, and (to the extent of inconsistency) is superseded by, the Shareholders’ Agreement.</w:t>
      </w:r>
    </w:p>
    <w:p>
      <w:pPr>
        <w:pStyle w:val="ListBullet"/>
        <w:spacing w:after="40"/>
        <w:ind w:left="567"/>
        <w:jc w:val="both"/>
      </w:pPr>
      <w:r>
        <w:t>Vesting via reverse-vesting / repurchase mechanism is preferred in Indian context as direct ‘unvested allotment’ is not contemplated by the Companies Act, 2013.</w:t>
      </w:r>
    </w:p>
    <w:p>
      <w:pPr>
        <w:pStyle w:val="ListBullet"/>
        <w:spacing w:after="40"/>
        <w:ind w:left="567"/>
        <w:jc w:val="both"/>
      </w:pPr>
      <w:r>
        <w:t>Section 27, Indian Contract Act, 1872 makes post-employment non-compete largely unenforceable. Hence, post-termination restrictions in Clause 11.2 are limited to non-solicit + confidentiality + IP — which Indian courts (Niranjan Shankar Golikari v. Century Spinning, Wipro v. Beckman Coulter, etc.) have upheld.</w:t>
      </w:r>
    </w:p>
    <w:p>
      <w:pPr>
        <w:pStyle w:val="ListBullet"/>
        <w:spacing w:after="40"/>
        <w:ind w:left="567"/>
        <w:jc w:val="both"/>
      </w:pPr>
      <w:r>
        <w:t>FEMA: If any Founder is a non-resident, FDI sectoral caps, pricing guidelines and reporting obligations (Form FC-GPR, Form FC-TRS) must be complied with.</w:t>
      </w:r>
    </w:p>
    <w:p>
      <w:pPr>
        <w:pStyle w:val="ListBullet"/>
        <w:spacing w:after="40"/>
        <w:ind w:left="567"/>
        <w:jc w:val="both"/>
      </w:pPr>
      <w:r>
        <w:t>GST: Salaries to Founders qua employees are outside the scope of GST (Schedule III to the CGST Act, 2017). Consultancy/professional fees to a Founder who is not an employee may attract GST.</w:t>
      </w:r>
    </w:p>
    <w:p>
      <w:pPr>
        <w:pStyle w:val="ListBullet"/>
        <w:spacing w:after="40"/>
        <w:ind w:left="567"/>
        <w:jc w:val="both"/>
      </w:pPr>
      <w:r>
        <w:t>Ensure DSCs (Digital Signature Certificates) and DINs (Director Identification Numbers) of Founder-directors are in order under Sections 152 and 153 of the Act.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