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INVESTOR RIGHTS AGREEMENT</w:t>
      </w:r>
    </w:p>
    <w:p>
      <w:pPr>
        <w:spacing w:before="200" w:after="160"/>
        <w:jc w:val="center"/>
      </w:pPr>
      <w:r>
        <w:rPr>
          <w:b/>
          <w:color w:val="002060"/>
          <w:sz w:val="26"/>
        </w:rPr>
        <w:t>(Shareholders' Agreement — India)</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SUMMARY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Registered Office</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{{COMPANY_REGISTERED_OFFICE}}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Effective Date</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{{EFFECTIVE_DATE}} (Closing Date under the SSA)</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Related SSA Dated</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{{SSA_DATE}}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Round / Series</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{{ROUND_NAME}}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Investor Group</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{{INVESTOR_GROUP_NAME}}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Founder Group</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{{FOUNDER_GROUP_NAME}}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Governing Law</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Laws of the Republic of India</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Seat of Arbitration</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{{ARBITRATION_SEAT_CITY}}, India</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Paid (₹)</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Investor Rights Agreement (the “Agreement”) is made BY AND AMONGST:</w:t>
      </w:r>
    </w:p>
    <w:p>
      <w:pPr>
        <w:jc w:val="both"/>
      </w:pPr>
      <w:r>
        <w:rPr>
          <w:b w:val="0"/>
          <w:i w:val="0"/>
        </w:rPr>
        <w:t>1.  {{COMPANY_NAME}}, a company incorporated under the Companies Act, 2013, having CIN {{COMPANY_CIN}}, registered office at {{COMPANY_REGISTERED_OFFICE}} (the “Company”);</w:t>
      </w:r>
    </w:p>
    <w:p>
      <w:pPr>
        <w:jc w:val="both"/>
      </w:pPr>
      <w:r>
        <w:rPr>
          <w:b w:val="0"/>
          <w:i w:val="0"/>
        </w:rPr>
        <w:t>2.  {{INVESTOR_1_NAME}}, {{INVESTOR_1_DESCRIPTION}}, with address at {{INVESTOR_1_ADDRESS}} (“Investor 1” / “Lead Investor”);</w:t>
      </w:r>
    </w:p>
    <w:p>
      <w:pPr>
        <w:jc w:val="both"/>
      </w:pPr>
      <w:r>
        <w:rPr>
          <w:b w:val="0"/>
          <w:i w:val="0"/>
        </w:rPr>
        <w:t>3.  {{INVESTOR_2_NAME}}, {{INVESTOR_2_DESCRIPTION}}, with address at {{INVESTOR_2_ADDRESS}} (“Investor 2”);</w:t>
      </w:r>
    </w:p>
    <w:p>
      <w:pPr>
        <w:jc w:val="both"/>
      </w:pPr>
      <w:r>
        <w:rPr>
          <w:b w:val="0"/>
          <w:i/>
          <w:sz w:val="18"/>
        </w:rPr>
        <w:t>[Add additional Investors as required.]</w:t>
      </w:r>
    </w:p>
    <w:p>
      <w:pPr>
        <w:jc w:val="both"/>
      </w:pPr>
      <w:r>
        <w:rPr>
          <w:b w:val="0"/>
          <w:i w:val="0"/>
        </w:rPr>
        <w:t>4.  {{FOUNDER_1_NAME}}, residing at {{FOUNDER_1_ADDRESS}} (“Founder 1”);</w:t>
      </w:r>
    </w:p>
    <w:p>
      <w:pPr>
        <w:jc w:val="both"/>
      </w:pPr>
      <w:r>
        <w:rPr>
          <w:b w:val="0"/>
          <w:i w:val="0"/>
        </w:rPr>
        <w:t>5.  {{FOUNDER_2_NAME}}, residing at {{FOUNDER_2_ADDRESS}} (“Founder 2”).</w:t>
      </w:r>
    </w:p>
    <w:p>
      <w:pPr>
        <w:jc w:val="both"/>
      </w:pPr>
      <w:r>
        <w:rPr>
          <w:b w:val="0"/>
          <w:i w:val="0"/>
        </w:rPr>
        <w:t>The Investors and the Founders together constitute the “Shareholders”. The Company, the Shareholders are individually a “Party” and collectively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Investors have, pursuant to the Share Subscription Agreement dated {{SSA_DATE}} (the “SSA”), subscribed to certain {{SECURITY_TYPE}} of the Company.</w:t>
      </w:r>
    </w:p>
    <w:p>
      <w:pPr>
        <w:spacing w:before="40"/>
        <w:ind w:left="454"/>
        <w:jc w:val="both"/>
      </w:pPr>
      <w:r>
        <w:rPr>
          <w:b/>
        </w:rPr>
        <w:t xml:space="preserve">B. </w:t>
      </w:r>
      <w:r>
        <w:t>The Parties wish to record their respective rights and obligations as Shareholders of the Company on and from the Effective Date, including in relation to governance, consent rights, transfer restrictions and exit rights, in this Agreement.</w:t>
      </w:r>
    </w:p>
    <w:p>
      <w:pPr>
        <w:spacing w:before="40"/>
        <w:ind w:left="454"/>
        <w:jc w:val="both"/>
      </w:pPr>
      <w:r>
        <w:rPr>
          <w:b/>
        </w:rPr>
        <w:t xml:space="preserve">C. </w:t>
      </w:r>
      <w:r>
        <w:t>The Articles of Association of the Company shall be amended to reflect, and shall be consistent with, the terms of this Agreement. In the event of conflict between this Agreement and the Articles, the Parties shall amend the Articles to give effect to this Agreement.</w:t>
      </w:r>
    </w:p>
    <w:p/>
    <w:p>
      <w:pPr>
        <w:jc w:val="both"/>
      </w:pPr>
      <w:r>
        <w:rPr>
          <w:b/>
          <w:i w:val="0"/>
        </w:rPr>
        <w:t>NOW THEREFORE,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rules and regulations made thereunder.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“Affiliate”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relation to a Person, any Person Controlling, Controlled by or under common Control with such Person; with respect to a fund, includes its general partner, manager and managed funds.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“Anti-Dilution Method”</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{{ANTI_DIL_METHOD}} (Broad-Based Weighted Average / Narrow-Based / Full Ratchet).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“Articles” / “AoA”</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Articles of Association of the Company, as amended.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“Board”</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board of directors of the Company.</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“Confidential Information”</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defined in Clause 14.1.</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“Drag Trigger”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as defined in Clause 9.</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pledge, lien, security interest, claim, option, right of first refusal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“Exit”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any of (a) an IPO; (b) a Strategic Sale; (c) a Secondary Sale; (d) a Buyback by the Company under Section 68 of the Act; or (e) such other event resulting in monetisation by the Investors.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“FEMA”</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Foreign Exchange Management Act, 1999, including the Foreign Exchange Management (Non-debt Instruments) Rules, 2019.</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“Investor Director”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director nominated by an Investor pursuant to Clause 4.</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“IPO”</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 initial public offering of equity shares of the Company on a recognised stock exchange in India or overseas.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“Liquidity Event”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any of (a) sale of all or substantially all of the assets of the Company; (b) merger / amalgamation resulting in change of Control; (c) sale of Securities resulting in change of Control; or (d) voluntary or involuntary winding-up / liquidation.</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“Majority Investors”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Investors holding in aggregate more than {{MAJORITY_INVESTORS_PCT}}% of the Investor Securities.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“Permitted Transferee”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as defined in Clause 7.2.</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“Promoter” / “Founder”</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persons listed in the Parties clause as Founder 1, Founder 2 and any other person designated as a Promoter under the Act.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“Qualified IPO” / “QIPO”</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an IPO at a price per share (post-split adjusted) equal to or exceeding {{QIPO_PRICE_MULTIPLE}}x the Series {{ROUND_NAME}} issue price, with aggregate offer size of at least ₹ {{QIPO_OFFER_SIZE_INR}}.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“Reserved Matters”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matters set out in Schedule 1.</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“ROFR”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right of first refusal.</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equity shares, CCPS, CCDs and any other security convertible into equity shares of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“SHA”</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this Agreement.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“Subscription Securities” / “Investor 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Securities subscribed by the Investors under the SSA, together with any Securities subsequently acquired.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“Transaction Documents”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SSA, this Agreement, the amended Articles of Association, the Founders’ IP Assignment Deeds, the founders’ employment agreements, the ESOP Plan, and any other document executed in connection with the transaction.</w:t>
            </w:r>
          </w:p>
        </w:tc>
      </w:tr>
    </w:tbl>
    <w:p/>
    <w:p>
      <w:pPr>
        <w:spacing w:before="240" w:after="80"/>
        <w:pBdr>
          <w:bottom w:val="single" w:sz="6" w:space="1" w:color="002060"/>
        </w:pBdr>
      </w:pPr>
      <w:r>
        <w:rPr>
          <w:b/>
          <w:color w:val="002060"/>
          <w:sz w:val="25"/>
        </w:rPr>
        <w:t>2.  CONSTITUTIONAL DOCUMENTS</w:t>
      </w:r>
    </w:p>
    <w:p>
      <w:pPr>
        <w:spacing w:before="80"/>
        <w:jc w:val="both"/>
      </w:pPr>
      <w:r>
        <w:rPr>
          <w:b/>
        </w:rPr>
        <w:t xml:space="preserve">2.1 </w:t>
      </w:r>
      <w:r>
        <w:rPr>
          <w:b/>
        </w:rPr>
        <w:t xml:space="preserve">Articles to Mirror. </w:t>
      </w:r>
      <w:r>
        <w:t>The Articles shall be amended to incorporate and mirror the rights granted under this Agreement. In the event of inconsistency, the Parties shall procure amendment of the Articles. The rights of the Investors under this Agreement are statutorily enforceable to the extent reflected in the Articles (per the principles laid down in *Vodafone International Holdings v. Union of India* and *World Phone India Pvt. Ltd. v. WPI Group Inc., USA*).</w:t>
      </w:r>
    </w:p>
    <w:p>
      <w:pPr>
        <w:spacing w:before="240" w:after="80"/>
        <w:pBdr>
          <w:bottom w:val="single" w:sz="6" w:space="1" w:color="002060"/>
        </w:pBdr>
      </w:pPr>
      <w:r>
        <w:rPr>
          <w:b/>
          <w:color w:val="002060"/>
          <w:sz w:val="25"/>
        </w:rPr>
        <w:t>3.  INFORMATION AND INSPECTION RIGHTS</w:t>
      </w:r>
    </w:p>
    <w:p>
      <w:pPr>
        <w:spacing w:before="80"/>
        <w:jc w:val="both"/>
      </w:pPr>
      <w:r>
        <w:rPr>
          <w:b/>
        </w:rPr>
        <w:t xml:space="preserve">3.1 </w:t>
      </w:r>
      <w:r>
        <w:rPr>
          <w:b/>
        </w:rPr>
        <w:t xml:space="preserve">Periodic Reporting. </w:t>
      </w:r>
      <w:r>
        <w:t>The Company shall deliver to each Investor:</w:t>
      </w:r>
    </w:p>
    <w:p>
      <w:pPr>
        <w:spacing w:before="40"/>
        <w:ind w:left="454"/>
        <w:jc w:val="both"/>
      </w:pPr>
      <w:r>
        <w:rPr>
          <w:b/>
        </w:rPr>
        <w:t xml:space="preserve">(a) </w:t>
      </w:r>
      <w:r>
        <w:t>Monthly MIS within {{MIS_DAYS}} days of month-end, including P&amp;L, cash position, burn rate, runway, key KPIs and product metrics;</w:t>
      </w:r>
    </w:p>
    <w:p>
      <w:pPr>
        <w:spacing w:before="40"/>
        <w:ind w:left="454"/>
        <w:jc w:val="both"/>
      </w:pPr>
      <w:r>
        <w:rPr>
          <w:b/>
        </w:rPr>
        <w:t xml:space="preserve">(b) </w:t>
      </w:r>
      <w:r>
        <w:t>Quarterly unaudited financial statements within {{QTR_FIN_DAYS}} days of quarter-end, prepared as per Ind AS / AS, with management commentary;</w:t>
      </w:r>
    </w:p>
    <w:p>
      <w:pPr>
        <w:spacing w:before="40"/>
        <w:ind w:left="454"/>
        <w:jc w:val="both"/>
      </w:pPr>
      <w:r>
        <w:rPr>
          <w:b/>
        </w:rPr>
        <w:t xml:space="preserve">(c) </w:t>
      </w:r>
      <w:r>
        <w:t>Annual audited financial statements within {{AUDIT_DAYS}} days of year-end;</w:t>
      </w:r>
    </w:p>
    <w:p>
      <w:pPr>
        <w:spacing w:before="40"/>
        <w:ind w:left="454"/>
        <w:jc w:val="both"/>
      </w:pPr>
      <w:r>
        <w:rPr>
          <w:b/>
        </w:rPr>
        <w:t xml:space="preserve">(d) </w:t>
      </w:r>
      <w:r>
        <w:t>Annual Business Plan and Budget for the upcoming financial year, no later than {{ABP_DAYS}} days before financial year-end, for Board approval;</w:t>
      </w:r>
    </w:p>
    <w:p>
      <w:pPr>
        <w:spacing w:before="40"/>
        <w:ind w:left="454"/>
        <w:jc w:val="both"/>
      </w:pPr>
      <w:r>
        <w:rPr>
          <w:b/>
        </w:rPr>
        <w:t xml:space="preserve">(e) </w:t>
      </w:r>
      <w:r>
        <w:t>Cap table updates on each issuance, transfer or exercise of options;</w:t>
      </w:r>
    </w:p>
    <w:p>
      <w:pPr>
        <w:spacing w:before="40"/>
        <w:ind w:left="454"/>
        <w:jc w:val="both"/>
      </w:pPr>
      <w:r>
        <w:rPr>
          <w:b/>
        </w:rPr>
        <w:t xml:space="preserve">(f) </w:t>
      </w:r>
      <w:r>
        <w:t>Such other information as reasonably requested by the Investors.</w:t>
      </w:r>
    </w:p>
    <w:p>
      <w:pPr>
        <w:spacing w:before="80"/>
        <w:jc w:val="both"/>
      </w:pPr>
      <w:r>
        <w:rPr>
          <w:b/>
        </w:rPr>
        <w:t xml:space="preserve">3.2 </w:t>
      </w:r>
      <w:r>
        <w:rPr>
          <w:b/>
        </w:rPr>
        <w:t xml:space="preserve">Inspection. </w:t>
      </w:r>
      <w:r>
        <w:t>Each Investor and its representatives shall have the right, upon reasonable prior notice and during normal business hours, to inspect and audit the books, records, facilities and operations of the Company.</w:t>
      </w:r>
    </w:p>
    <w:p>
      <w:pPr>
        <w:spacing w:before="80"/>
        <w:jc w:val="both"/>
      </w:pPr>
      <w:r>
        <w:rPr>
          <w:b/>
        </w:rPr>
        <w:t xml:space="preserve">3.3 </w:t>
      </w:r>
      <w:r>
        <w:rPr>
          <w:b/>
        </w:rPr>
        <w:t xml:space="preserve">Audit Rights. </w:t>
      </w:r>
      <w:r>
        <w:t>Each Investor shall have the right, at the Company’s cost (capped at ₹ {{AUDIT_COST_CAP_INR}} per annum) to commission an independent audit / forensic audit of the Company once a year, or at any time if reasonable grounds exist to suspect financial impropriety.</w:t>
      </w:r>
    </w:p>
    <w:p>
      <w:pPr>
        <w:spacing w:before="80"/>
        <w:jc w:val="both"/>
      </w:pPr>
      <w:r>
        <w:rPr>
          <w:b/>
        </w:rPr>
        <w:t xml:space="preserve">3.4 </w:t>
      </w:r>
      <w:r>
        <w:rPr>
          <w:b/>
        </w:rPr>
        <w:t xml:space="preserve">ESG / Compliance Reporting. </w:t>
      </w:r>
      <w:r>
        <w:t>The Company shall furnish ESG, anti-bribery, anti-money-laundering, sanctions and DPDP / data privacy compliance certificates to the Investors on a quarterly basis in the form prescribed by the Lead Investor.</w:t>
      </w:r>
    </w:p>
    <w:p>
      <w:pPr>
        <w:spacing w:before="240" w:after="80"/>
        <w:pBdr>
          <w:bottom w:val="single" w:sz="6" w:space="1" w:color="002060"/>
        </w:pBdr>
      </w:pPr>
      <w:r>
        <w:rPr>
          <w:b/>
          <w:color w:val="002060"/>
          <w:sz w:val="25"/>
        </w:rPr>
        <w:t>4.  BOARD COMPOSITION AND GOVERNANCE</w:t>
      </w:r>
    </w:p>
    <w:p>
      <w:pPr>
        <w:spacing w:before="80"/>
        <w:jc w:val="both"/>
      </w:pPr>
      <w:r>
        <w:rPr>
          <w:b/>
        </w:rPr>
        <w:t xml:space="preserve">4.1 </w:t>
      </w:r>
      <w:r>
        <w:rPr>
          <w:b/>
        </w:rPr>
        <w:t xml:space="preserve">Board Composition. </w:t>
      </w:r>
      <w:r>
        <w:t>The Board shall comprise of {{BOARD_SIZE}} directors:</w:t>
      </w:r>
    </w:p>
    <w:p>
      <w:pPr>
        <w:spacing w:before="40"/>
        <w:ind w:left="454"/>
        <w:jc w:val="both"/>
      </w:pPr>
      <w:r>
        <w:rPr>
          <w:b/>
        </w:rPr>
        <w:t xml:space="preserve">(a) </w:t>
      </w:r>
      <w:r>
        <w:t>{{FOUNDER_DIRECTORS}} Founder Director(s) nominated by the Founders;</w:t>
      </w:r>
    </w:p>
    <w:p>
      <w:pPr>
        <w:spacing w:before="40"/>
        <w:ind w:left="454"/>
        <w:jc w:val="both"/>
      </w:pPr>
      <w:r>
        <w:rPr>
          <w:b/>
        </w:rPr>
        <w:t xml:space="preserve">(b) </w:t>
      </w:r>
      <w:r>
        <w:t>{{INVESTOR_DIRECTORS}} Investor Director(s) nominated by the Lead Investor for so long as it (alone or with its Affiliates) holds at least {{BOARD_THRESHOLD_PERCENT}}% of the Investor Securities (on an as-converted basis);</w:t>
      </w:r>
    </w:p>
    <w:p>
      <w:pPr>
        <w:spacing w:before="40"/>
        <w:ind w:left="454"/>
        <w:jc w:val="both"/>
      </w:pPr>
      <w:r>
        <w:rPr>
          <w:b/>
        </w:rPr>
        <w:t xml:space="preserve">(c) </w:t>
      </w:r>
      <w:r>
        <w:t>{{INDEPENDENT_DIRECTORS}} Independent Director(s) jointly nominated;</w:t>
      </w:r>
    </w:p>
    <w:p>
      <w:pPr>
        <w:spacing w:before="40"/>
        <w:ind w:left="454"/>
        <w:jc w:val="both"/>
      </w:pPr>
      <w:r>
        <w:rPr>
          <w:b/>
        </w:rPr>
        <w:t xml:space="preserve">(d) </w:t>
      </w:r>
      <w:r>
        <w:t>1 Observer (non-voting) nominated by each Investor holding at least {{OBSERVER_THRESHOLD_PERCENT}}% of the Securities, entitled to attend all Board meetings and receive all Board materials.</w:t>
      </w:r>
    </w:p>
    <w:p>
      <w:pPr>
        <w:spacing w:before="80"/>
        <w:jc w:val="both"/>
      </w:pPr>
      <w:r>
        <w:rPr>
          <w:b/>
        </w:rPr>
        <w:t xml:space="preserve">4.2 </w:t>
      </w:r>
      <w:r>
        <w:rPr>
          <w:b/>
        </w:rPr>
        <w:t xml:space="preserve">Board Meetings. </w:t>
      </w:r>
      <w:r>
        <w:t>The Board shall meet at least once every quarter (and not later than 120 days apart, per Section 173 of the Act). Notice of not less than seven (7) days shall be given.</w:t>
      </w:r>
    </w:p>
    <w:p>
      <w:pPr>
        <w:spacing w:before="80"/>
        <w:jc w:val="both"/>
      </w:pPr>
      <w:r>
        <w:rPr>
          <w:b/>
        </w:rPr>
        <w:t xml:space="preserve">4.3 </w:t>
      </w:r>
      <w:r>
        <w:rPr>
          <w:b/>
        </w:rPr>
        <w:t xml:space="preserve">Quorum. </w:t>
      </w:r>
      <w:r>
        <w:t>The quorum for any Board meeting shall be the higher of (a) one-third of the total number of directors; or (b) two (2) directors, in either case, including at least one (1) Investor Director. If quorum is not present, the meeting shall be adjourned by five (5) Business Days, when the Investor Director presence requirement shall be relaxed.</w:t>
      </w:r>
    </w:p>
    <w:p>
      <w:pPr>
        <w:spacing w:before="80"/>
        <w:jc w:val="both"/>
      </w:pPr>
      <w:r>
        <w:rPr>
          <w:b/>
        </w:rPr>
        <w:t xml:space="preserve">4.4 </w:t>
      </w:r>
      <w:r>
        <w:rPr>
          <w:b/>
        </w:rPr>
        <w:t xml:space="preserve">Investor Director Protections. </w:t>
      </w:r>
      <w:r>
        <w:t>Each Investor Director: (a) shall be entitled to attend all Board / Committee meetings; (b) shall be reimbursed for reasonable expenses; (c) shall be covered under D&amp;O insurance to be procured by the Company within {{DNO_DAYS}} days; (d) shall be indemnified by the Company to the maximum extent permitted by Section 197(13) and Section 152 of the Act; (e) shall not be liable for Sections 166 / 184 of the Act obligations arising solely by reason of nomination (Investor Directors are nominee directors and not “Promoters”).</w:t>
      </w:r>
    </w:p>
    <w:p>
      <w:pPr>
        <w:spacing w:before="80"/>
        <w:jc w:val="both"/>
      </w:pPr>
      <w:r>
        <w:rPr>
          <w:b/>
        </w:rPr>
        <w:t xml:space="preserve">4.5 </w:t>
      </w:r>
      <w:r>
        <w:rPr>
          <w:b/>
        </w:rPr>
        <w:t xml:space="preserve">Reserved Matters / Affirmative Voting. </w:t>
      </w:r>
      <w:r>
        <w:t>Notwithstanding anything else, the Company shall not (and the Shareholders / Directors shall procure that the Company shall not) take any action in respect of the Reserved Matters set out in Schedule 1 without the prior written affirmative vote of:</w:t>
      </w:r>
    </w:p>
    <w:p>
      <w:pPr>
        <w:spacing w:before="40"/>
        <w:ind w:left="454"/>
        <w:jc w:val="both"/>
      </w:pPr>
      <w:r>
        <w:rPr>
          <w:b/>
        </w:rPr>
        <w:t xml:space="preserve">4.5.1 </w:t>
      </w:r>
      <w:r>
        <w:t>the Lead Investor (acting through the Investor Director or in writing); and</w:t>
      </w:r>
    </w:p>
    <w:p>
      <w:pPr>
        <w:spacing w:before="40"/>
        <w:ind w:left="454"/>
        <w:jc w:val="both"/>
      </w:pPr>
      <w:r>
        <w:rPr>
          <w:b/>
        </w:rPr>
        <w:t xml:space="preserve">4.5.2 </w:t>
      </w:r>
      <w:r>
        <w:t>where the Reserved Matter affects the Investors collectively, the Majority Investors.</w:t>
      </w:r>
    </w:p>
    <w:p>
      <w:pPr>
        <w:spacing w:before="80"/>
        <w:jc w:val="both"/>
      </w:pPr>
      <w:r>
        <w:rPr>
          <w:b/>
        </w:rPr>
        <w:t xml:space="preserve">4.6 </w:t>
      </w:r>
      <w:r>
        <w:rPr>
          <w:b/>
        </w:rPr>
        <w:t xml:space="preserve">Committees. </w:t>
      </w:r>
      <w:r>
        <w:t>The Board shall constitute, within {{COMMITTEE_DAYS}} days of the Effective Date, (a) an Audit Committee; (b) a Nomination &amp; Remuneration Committee (NRC); and (c) such other committees as may be required under the Act. The Investor Director shall be entitled to sit on the Audit Committee and the NRC.</w:t>
      </w:r>
    </w:p>
    <w:p>
      <w:pPr>
        <w:spacing w:before="240" w:after="80"/>
        <w:pBdr>
          <w:bottom w:val="single" w:sz="6" w:space="1" w:color="002060"/>
        </w:pBdr>
      </w:pPr>
      <w:r>
        <w:rPr>
          <w:b/>
          <w:color w:val="002060"/>
          <w:sz w:val="25"/>
        </w:rPr>
        <w:t>5.  PRE-EMPTIVE RIGHTS AND ANTI-DILUTION</w:t>
      </w:r>
    </w:p>
    <w:p>
      <w:pPr>
        <w:spacing w:before="80"/>
        <w:jc w:val="both"/>
      </w:pPr>
      <w:r>
        <w:rPr>
          <w:b/>
        </w:rPr>
        <w:t xml:space="preserve">5.1 </w:t>
      </w:r>
      <w:r>
        <w:rPr>
          <w:b/>
        </w:rPr>
        <w:t xml:space="preserve">Pre-Emptive Right. </w:t>
      </w:r>
      <w:r>
        <w:t>If the Company proposes to issue any new Securities (other than under (a) the ESOP Pool; (b) bona fide M&amp;A consideration; (c) IPO; or (d) anti-dilution adjustments), each Investor shall be entitled to subscribe to such number of new Securities, on the same terms, as is necessary to maintain its pro-rata fully-diluted shareholding. Notice shall be given not less than {{PRE_EMPTIVE_DAYS}} days prior to issuance.</w:t>
      </w:r>
    </w:p>
    <w:p>
      <w:pPr>
        <w:spacing w:before="80"/>
        <w:jc w:val="both"/>
      </w:pPr>
      <w:r>
        <w:rPr>
          <w:b/>
        </w:rPr>
        <w:t xml:space="preserve">5.2 </w:t>
      </w:r>
      <w:r>
        <w:rPr>
          <w:b/>
        </w:rPr>
        <w:t xml:space="preserve">Anti-Dilution Protection. </w:t>
      </w:r>
      <w:r>
        <w:t>In the event of a Down Round (issuance of new Securities at a price per share lower than the conversion price of any class of Subscription Securities), the conversion price of the Subscription Securities shall be adjusted in accordance with the {{ANTI_DIL_METHOD}} as set out in Schedule 2. The Company shall amend the Articles, issue additional shares (bonus / sweat) and otherwise give effect to the adjustment.</w:t>
      </w:r>
    </w:p>
    <w:p>
      <w:pPr>
        <w:spacing w:before="80"/>
        <w:jc w:val="both"/>
      </w:pPr>
      <w:r>
        <w:rPr>
          <w:b/>
        </w:rPr>
        <w:t xml:space="preserve">5.3 </w:t>
      </w:r>
      <w:r>
        <w:rPr>
          <w:b/>
        </w:rPr>
        <w:t xml:space="preserve">Carve-outs. </w:t>
      </w:r>
      <w:r>
        <w:t>No anti-dilution adjustment shall apply to (a) ESOP issuances within the agreed pool; (b) bonus shares or stock splits proportionately benefiting all shareholders; (c) issuances as bona fide consideration for an acquisition approved by the Board (including the Investor Director); or (d) issuances on conversion of existing CCDs/CCPS.</w:t>
      </w:r>
    </w:p>
    <w:p>
      <w:pPr>
        <w:spacing w:before="240" w:after="80"/>
        <w:pBdr>
          <w:bottom w:val="single" w:sz="6" w:space="1" w:color="002060"/>
        </w:pBdr>
      </w:pPr>
      <w:r>
        <w:rPr>
          <w:b/>
          <w:color w:val="002060"/>
          <w:sz w:val="25"/>
        </w:rPr>
        <w:t>6.  LIQUIDATION PREFERENCE AND DIVIDEND</w:t>
      </w:r>
    </w:p>
    <w:p>
      <w:pPr>
        <w:spacing w:before="80"/>
        <w:jc w:val="both"/>
      </w:pPr>
      <w:r>
        <w:rPr>
          <w:b/>
        </w:rPr>
        <w:t xml:space="preserve">6.1 </w:t>
      </w:r>
      <w:r>
        <w:rPr>
          <w:b/>
        </w:rPr>
        <w:t xml:space="preserve">Dividend. </w:t>
      </w:r>
      <w:r>
        <w:t>Each Subscription Security shall carry a {{COUPON_PERCENT}}% per annum (cumulative / non-cumulative) preferential dividend, in priority to any dividend on Equity Shares.</w:t>
      </w:r>
    </w:p>
    <w:p>
      <w:pPr>
        <w:spacing w:before="80"/>
        <w:jc w:val="both"/>
      </w:pPr>
      <w:r>
        <w:rPr>
          <w:b/>
        </w:rPr>
        <w:t xml:space="preserve">6.2 </w:t>
      </w:r>
      <w:r>
        <w:rPr>
          <w:b/>
        </w:rPr>
        <w:t xml:space="preserve">Liquidation Preference. </w:t>
      </w:r>
      <w:r>
        <w:t>On a Liquidity Event, the proceeds shall be distributed in the following order of priority (the “Waterfall”):</w:t>
      </w:r>
    </w:p>
    <w:p>
      <w:pPr>
        <w:spacing w:before="40"/>
        <w:ind w:left="454"/>
        <w:jc w:val="both"/>
      </w:pPr>
      <w:r>
        <w:rPr>
          <w:b/>
        </w:rPr>
        <w:t xml:space="preserve">(a) </w:t>
      </w:r>
      <w:r>
        <w:t>First, to each Investor, an amount equal to {{LIQ_PREF_MULTIPLE}}x of the Subscription Amount paid by such Investor (the “Preference Amount”);</w:t>
      </w:r>
    </w:p>
    <w:p>
      <w:pPr>
        <w:spacing w:before="40"/>
        <w:ind w:left="454"/>
        <w:jc w:val="both"/>
      </w:pPr>
      <w:r>
        <w:rPr>
          <w:b/>
        </w:rPr>
        <w:t xml:space="preserve">(b) </w:t>
      </w:r>
      <w:r>
        <w:t>Second, after payment of Preference Amount to all Investors, the balance shall be distributed amongst all Shareholders (including Investors, on an as-converted basis) pro-rata to their fully diluted shareholding [for participating preference], OR amongst Equity Shareholders only [for non-participating preference, in which case Investors shall elect the higher of (i) Preference Amount; and (ii) pro-rata distribution].</w:t>
      </w:r>
    </w:p>
    <w:p>
      <w:pPr>
        <w:jc w:val="both"/>
      </w:pPr>
      <w:r>
        <w:rPr>
          <w:b w:val="0"/>
          <w:i w:val="0"/>
        </w:rPr>
        <w:t>Mark applicable preference: {{LIQUIDATION_PREFERENCE_TYPE}} (Non-participating / Participating-capped at {{LIQ_PREF_CAP}}x / Participating-uncapped).</w:t>
      </w:r>
    </w:p>
    <w:p>
      <w:pPr>
        <w:spacing w:before="240" w:after="80"/>
        <w:pBdr>
          <w:bottom w:val="single" w:sz="6" w:space="1" w:color="002060"/>
        </w:pBdr>
      </w:pPr>
      <w:r>
        <w:rPr>
          <w:b/>
          <w:color w:val="002060"/>
          <w:sz w:val="25"/>
        </w:rPr>
        <w:t>7.  TRANSFER RESTRICTIONS</w:t>
      </w:r>
    </w:p>
    <w:p>
      <w:pPr>
        <w:spacing w:before="80"/>
        <w:jc w:val="both"/>
      </w:pPr>
      <w:r>
        <w:rPr>
          <w:b/>
        </w:rPr>
        <w:t xml:space="preserve">7.1 </w:t>
      </w:r>
      <w:r>
        <w:rPr>
          <w:b/>
        </w:rPr>
        <w:t xml:space="preserve">Founder Lock-in. </w:t>
      </w:r>
      <w:r>
        <w:t>No Founder shall, for a period of {{FOUNDER_LOCK_IN_YEARS}} years from the Effective Date (the “Founder Lock-In”), Transfer any Securities held by such Founder, save with the prior written consent of the Majority Investors. Any Transfer in breach hereof shall be null and void.</w:t>
      </w:r>
    </w:p>
    <w:p>
      <w:pPr>
        <w:spacing w:before="80"/>
        <w:jc w:val="both"/>
      </w:pPr>
      <w:r>
        <w:rPr>
          <w:b/>
        </w:rPr>
        <w:t xml:space="preserve">7.2 </w:t>
      </w:r>
      <w:r>
        <w:rPr>
          <w:b/>
        </w:rPr>
        <w:t xml:space="preserve">Permitted Transfers. </w:t>
      </w:r>
      <w:r>
        <w:t>The following Transfers shall be permitted, subject to the transferee executing a Deed of Adherence and being bound by this Agreement:</w:t>
      </w:r>
    </w:p>
    <w:p>
      <w:pPr>
        <w:spacing w:before="40"/>
        <w:ind w:left="454"/>
        <w:jc w:val="both"/>
      </w:pPr>
      <w:r>
        <w:rPr>
          <w:b/>
        </w:rPr>
        <w:t xml:space="preserve">(a) </w:t>
      </w:r>
      <w:r>
        <w:t>by a Founder, to immediate family members or a trust solely for their benefit, up to {{FOUNDER_PERMITTED_TRANSFER_PCT}}% of his/her holding;</w:t>
      </w:r>
    </w:p>
    <w:p>
      <w:pPr>
        <w:spacing w:before="40"/>
        <w:ind w:left="454"/>
        <w:jc w:val="both"/>
      </w:pPr>
      <w:r>
        <w:rPr>
          <w:b/>
        </w:rPr>
        <w:t xml:space="preserve">(b) </w:t>
      </w:r>
      <w:r>
        <w:t>by an Investor, to an Affiliate / managed fund / co-investor under common Control, without restriction;</w:t>
      </w:r>
    </w:p>
    <w:p>
      <w:pPr>
        <w:spacing w:before="40"/>
        <w:ind w:left="454"/>
        <w:jc w:val="both"/>
      </w:pPr>
      <w:r>
        <w:rPr>
          <w:b/>
        </w:rPr>
        <w:t xml:space="preserve">(c) </w:t>
      </w:r>
      <w:r>
        <w:t>by an Investor, on a secondary sale, after the Founder Lock-In Period;</w:t>
      </w:r>
    </w:p>
    <w:p>
      <w:pPr>
        <w:spacing w:before="40"/>
        <w:ind w:left="454"/>
        <w:jc w:val="both"/>
      </w:pPr>
      <w:r>
        <w:rPr>
          <w:b/>
        </w:rPr>
        <w:t xml:space="preserve">(d) </w:t>
      </w:r>
      <w:r>
        <w:t>Transfers in connection with an Exit (IPO, drag, strategic sale, etc.).</w:t>
      </w:r>
    </w:p>
    <w:p>
      <w:pPr>
        <w:spacing w:before="80"/>
        <w:jc w:val="both"/>
      </w:pPr>
      <w:r>
        <w:rPr>
          <w:b/>
        </w:rPr>
        <w:t xml:space="preserve">7.3 </w:t>
      </w:r>
      <w:r>
        <w:rPr>
          <w:b/>
        </w:rPr>
        <w:t xml:space="preserve">ROFR — Founder Transfers. </w:t>
      </w:r>
      <w:r>
        <w:t>Subject to Clauses 7.1 and 7.2, any proposed Transfer by a Founder of Securities to a third party shall first be offered to the Investors pro-rata, at the price and on the terms offered by the third party. The Investors shall have {{ROFR_DAYS}} days to accept, in whole or in part. The mechanics shall be as set out in the Right of First Refusal Agreement of even date, and Schedule 3 hereto.</w:t>
      </w:r>
    </w:p>
    <w:p>
      <w:pPr>
        <w:spacing w:before="80"/>
        <w:jc w:val="both"/>
      </w:pPr>
      <w:r>
        <w:rPr>
          <w:b/>
        </w:rPr>
        <w:t xml:space="preserve">7.4 </w:t>
      </w:r>
      <w:r>
        <w:rPr>
          <w:b/>
        </w:rPr>
        <w:t xml:space="preserve">Tag-Along — Founder Transfers. </w:t>
      </w:r>
      <w:r>
        <w:t>If the ROFR is not fully exercised, the Investors shall have the right to “tag along” and require the third-party purchaser to acquire their pro-rata Securities, on the same terms. Mechanics in Schedule 4.</w:t>
      </w:r>
    </w:p>
    <w:p>
      <w:pPr>
        <w:spacing w:before="80"/>
        <w:jc w:val="both"/>
      </w:pPr>
      <w:r>
        <w:rPr>
          <w:b/>
        </w:rPr>
        <w:t xml:space="preserve">7.5 </w:t>
      </w:r>
      <w:r>
        <w:rPr>
          <w:b/>
        </w:rPr>
        <w:t xml:space="preserve">Drag-Along. </w:t>
      </w:r>
      <w:r>
        <w:t>After the {{DRAG_AFTER_YEARS}}th anniversary of the Effective Date, if the Majority Investors (holding ≥ {{DRAG_THRESHOLD_PERCENT}}% of Investor Securities) propose to Transfer their Securities to a bona-fide third party purchaser, they may require all other Shareholders to also Transfer their Securities to such purchaser, on the same terms. Mechanics in Schedule 5.</w:t>
      </w:r>
    </w:p>
    <w:p>
      <w:pPr>
        <w:spacing w:before="80"/>
        <w:jc w:val="both"/>
      </w:pPr>
      <w:r>
        <w:rPr>
          <w:b/>
        </w:rPr>
        <w:t xml:space="preserve">7.6 </w:t>
      </w:r>
      <w:r>
        <w:rPr>
          <w:b/>
        </w:rPr>
        <w:t xml:space="preserve">Compliance. </w:t>
      </w:r>
      <w:r>
        <w:t>All Transfers shall comply with the Act, FEMA NDI Rules, 2019 (including pricing floor for non-resident Investors) and the Articles.</w:t>
      </w:r>
    </w:p>
    <w:p>
      <w:pPr>
        <w:spacing w:before="240" w:after="80"/>
        <w:pBdr>
          <w:bottom w:val="single" w:sz="6" w:space="1" w:color="002060"/>
        </w:pBdr>
      </w:pPr>
      <w:r>
        <w:rPr>
          <w:b/>
          <w:color w:val="002060"/>
          <w:sz w:val="25"/>
        </w:rPr>
        <w:t>8.  FOUNDER MATTERS</w:t>
      </w:r>
    </w:p>
    <w:p>
      <w:pPr>
        <w:spacing w:before="80"/>
        <w:jc w:val="both"/>
      </w:pPr>
      <w:r>
        <w:rPr>
          <w:b/>
        </w:rPr>
        <w:t xml:space="preserve">8.1 </w:t>
      </w:r>
      <w:r>
        <w:rPr>
          <w:b/>
        </w:rPr>
        <w:t xml:space="preserve">Founder Vesting / Reverse-Vesting. </w:t>
      </w:r>
      <w:r>
        <w:t>Each Founder’s existing equity shareholding shall be subject to a reverse-vesting schedule of {{REVERSE_VESTING_MONTHS}} months from the Effective Date, with {{REVERSE_VESTING_CLIFF_MONTHS}} months’ cliff. Mechanics: face-value buy-back / transfer of unvested shares to the ESOP Pool on departure.</w:t>
      </w:r>
    </w:p>
    <w:p>
      <w:pPr>
        <w:spacing w:before="80"/>
        <w:jc w:val="both"/>
      </w:pPr>
      <w:r>
        <w:rPr>
          <w:b/>
        </w:rPr>
        <w:t xml:space="preserve">8.2 </w:t>
      </w:r>
      <w:r>
        <w:rPr>
          <w:b/>
        </w:rPr>
        <w:t xml:space="preserve">Time Commitment. </w:t>
      </w:r>
      <w:r>
        <w:t>Each Founder shall devote full business time and attention to the Company. No external engagement (commercial, advisory or otherwise) shall be undertaken without Board approval, save as disclosed in the SSA Disclosure Letter.</w:t>
      </w:r>
    </w:p>
    <w:p>
      <w:pPr>
        <w:spacing w:before="80"/>
        <w:jc w:val="both"/>
      </w:pPr>
      <w:r>
        <w:rPr>
          <w:b/>
        </w:rPr>
        <w:t xml:space="preserve">8.3 </w:t>
      </w:r>
      <w:r>
        <w:rPr>
          <w:b/>
        </w:rPr>
        <w:t xml:space="preserve">Non-Compete (During Tenure). </w:t>
      </w:r>
      <w:r>
        <w:t>During the term of association with the Company, no Founder shall, directly or indirectly, engage in any Competing Business (as defined in Schedule 6).</w:t>
      </w:r>
    </w:p>
    <w:p>
      <w:pPr>
        <w:spacing w:before="80"/>
        <w:jc w:val="both"/>
      </w:pPr>
      <w:r>
        <w:rPr>
          <w:b/>
        </w:rPr>
        <w:t xml:space="preserve">8.4 </w:t>
      </w:r>
      <w:r>
        <w:rPr>
          <w:b/>
        </w:rPr>
        <w:t xml:space="preserve">Non-Solicit &amp; Confidentiality (Post-Termination). </w:t>
      </w:r>
      <w:r>
        <w:t>For a period of {{POST_TERM_NON_SOLICIT_MONTHS}} months following cessation, no Founder shall solicit (a) employees / consultants of the Company; (b) customers, suppliers or partners with whom such Founder had material dealings; and shall continue to abide by the confidentiality and IP obligations. (Note: Indian Contract Act, 1872, Section 27 renders post-employment non-compete unenforceable beyond non-solicit + confidentiality.)</w:t>
      </w:r>
    </w:p>
    <w:p>
      <w:pPr>
        <w:spacing w:before="80"/>
        <w:jc w:val="both"/>
      </w:pPr>
      <w:r>
        <w:rPr>
          <w:b/>
        </w:rPr>
        <w:t xml:space="preserve">8.5 </w:t>
      </w:r>
      <w:r>
        <w:rPr>
          <w:b/>
        </w:rPr>
        <w:t xml:space="preserve">Good Leaver / Bad Leaver. </w:t>
      </w:r>
      <w:r>
        <w:t>On cessation of association, the Founder’s Vested and Unvested Securities shall be treated as set out in the Founders’ Agreement and reflected in the Articles.</w:t>
      </w:r>
    </w:p>
    <w:p>
      <w:pPr>
        <w:spacing w:before="80"/>
        <w:jc w:val="both"/>
      </w:pPr>
      <w:r>
        <w:rPr>
          <w:b/>
        </w:rPr>
        <w:t xml:space="preserve">8.6 </w:t>
      </w:r>
      <w:r>
        <w:rPr>
          <w:b/>
        </w:rPr>
        <w:t xml:space="preserve">Key-Man Insurance. </w:t>
      </w:r>
      <w:r>
        <w:t>The Company shall procure key-man insurance for each Founder, with cover of ₹ {{KEY_MAN_COVER_INR}}, naming the Company as beneficiary.</w:t>
      </w:r>
    </w:p>
    <w:p>
      <w:pPr>
        <w:spacing w:before="240" w:after="80"/>
        <w:pBdr>
          <w:bottom w:val="single" w:sz="6" w:space="1" w:color="002060"/>
        </w:pBdr>
      </w:pPr>
      <w:r>
        <w:rPr>
          <w:b/>
          <w:color w:val="002060"/>
          <w:sz w:val="25"/>
        </w:rPr>
        <w:t>9.  EXIT RIGHTS</w:t>
      </w:r>
    </w:p>
    <w:p>
      <w:pPr>
        <w:spacing w:before="80"/>
        <w:jc w:val="both"/>
      </w:pPr>
      <w:r>
        <w:rPr>
          <w:b/>
        </w:rPr>
        <w:t xml:space="preserve">9.1 </w:t>
      </w:r>
      <w:r>
        <w:rPr>
          <w:b/>
        </w:rPr>
        <w:t xml:space="preserve">IPO. </w:t>
      </w:r>
      <w:r>
        <w:t>The Company and Founders shall use best efforts to achieve a Qualified IPO on a recognised stock exchange (BSE / NSE / NYSE / NASDAQ / SGX) on or before {{IPO_DEADLINE_DATE}}.</w:t>
      </w:r>
    </w:p>
    <w:p>
      <w:pPr>
        <w:spacing w:before="80"/>
        <w:jc w:val="both"/>
      </w:pPr>
      <w:r>
        <w:rPr>
          <w:b/>
        </w:rPr>
        <w:t xml:space="preserve">9.2 </w:t>
      </w:r>
      <w:r>
        <w:rPr>
          <w:b/>
        </w:rPr>
        <w:t xml:space="preserve">Strategic / Secondary Sale. </w:t>
      </w:r>
      <w:r>
        <w:t>The Investors shall have the right to require the Founders to cooperate with a strategic or secondary sale of all or part of the Investor Securities to a bona-fide third party.</w:t>
      </w:r>
    </w:p>
    <w:p>
      <w:pPr>
        <w:spacing w:before="80"/>
        <w:jc w:val="both"/>
      </w:pPr>
      <w:r>
        <w:rPr>
          <w:b/>
        </w:rPr>
        <w:t xml:space="preserve">9.3 </w:t>
      </w:r>
      <w:r>
        <w:rPr>
          <w:b/>
        </w:rPr>
        <w:t xml:space="preserve">Drag-Along / Buyback. </w:t>
      </w:r>
      <w:r>
        <w:t>Subject to Clause 7.5 and Sections 68–70 of the Act, the Investors shall also have the right to require a Buyback by the Company at the Fair Market Value or such other price as agreed.</w:t>
      </w:r>
    </w:p>
    <w:p>
      <w:pPr>
        <w:spacing w:before="80"/>
        <w:jc w:val="both"/>
      </w:pPr>
      <w:r>
        <w:rPr>
          <w:b/>
        </w:rPr>
        <w:t xml:space="preserve">9.4 </w:t>
      </w:r>
      <w:r>
        <w:rPr>
          <w:b/>
        </w:rPr>
        <w:t xml:space="preserve">Put Option (Optional / where permissible). </w:t>
      </w:r>
      <w:r>
        <w:t>If no Exit occurs by {{PUT_OPTION_DATE}}, the Investors shall be entitled to exercise a Put Option against the Founders / Promoters, requiring purchase of the Investor Securities at the higher of (a) {{PUT_PRICE_MULTIPLE}}x of the Subscription Amount; and (b) Fair Market Value, subject to Applicable Law and FEMA NDI Rules, 2019 (which restrict guaranteed exit assurances to non-resident investors).</w:t>
      </w:r>
    </w:p>
    <w:p>
      <w:pPr>
        <w:jc w:val="both"/>
      </w:pPr>
      <w:r>
        <w:rPr>
          <w:b w:val="0"/>
          <w:i/>
          <w:sz w:val="18"/>
        </w:rPr>
        <w:t>Note: Following the RBI ‘Optionality Clauses’ framework (A.P. (DIR Series) Circular No. 86 of 9 January 2014), put options to non-resident Investors are permissible provided exit is at Fair Market Value at the time of exit; minimum lock-in of one (1) year applies. Drafting must avoid any assured return guarantee.</w:t>
      </w:r>
    </w:p>
    <w:p>
      <w:pPr>
        <w:spacing w:before="80"/>
        <w:jc w:val="both"/>
      </w:pPr>
      <w:r>
        <w:rPr>
          <w:b/>
        </w:rPr>
        <w:t xml:space="preserve">9.5 </w:t>
      </w:r>
      <w:r>
        <w:rPr>
          <w:b/>
        </w:rPr>
        <w:t xml:space="preserve">Cooperation. </w:t>
      </w:r>
      <w:r>
        <w:t>Each Party shall use best efforts and execute all such documents as may be required to give effect to the Exit, including bankers, auditors, valuers, regulatory filings, shareholder resolutions and AOA amendments.</w:t>
      </w:r>
    </w:p>
    <w:p>
      <w:pPr>
        <w:spacing w:before="240" w:after="80"/>
        <w:pBdr>
          <w:bottom w:val="single" w:sz="6" w:space="1" w:color="002060"/>
        </w:pBdr>
      </w:pPr>
      <w:r>
        <w:rPr>
          <w:b/>
          <w:color w:val="002060"/>
          <w:sz w:val="25"/>
        </w:rPr>
        <w:t>10.  ESOP MANAGEMENT</w:t>
      </w:r>
    </w:p>
    <w:p>
      <w:pPr>
        <w:spacing w:before="80"/>
        <w:jc w:val="both"/>
      </w:pPr>
      <w:r>
        <w:rPr>
          <w:b/>
        </w:rPr>
        <w:t xml:space="preserve">10.1 </w:t>
      </w:r>
      <w:r>
        <w:rPr>
          <w:b/>
        </w:rPr>
        <w:t xml:space="preserve">ESOP Pool. </w:t>
      </w:r>
      <w:r>
        <w:t>The Company shall maintain an ESOP Pool equivalent to {{ESOP_POOL_PERCENT}}% of the fully diluted share capital. Any expansion of the ESOP Pool shall be a Reserved Matter.</w:t>
      </w:r>
    </w:p>
    <w:p>
      <w:pPr>
        <w:spacing w:before="80"/>
        <w:jc w:val="both"/>
      </w:pPr>
      <w:r>
        <w:rPr>
          <w:b/>
        </w:rPr>
        <w:t xml:space="preserve">10.2 </w:t>
      </w:r>
      <w:r>
        <w:rPr>
          <w:b/>
        </w:rPr>
        <w:t xml:space="preserve">Administration. </w:t>
      </w:r>
      <w:r>
        <w:t>The ESOP Plan shall be administered by the NRC. Grants to Founders / Key Managerial Personnel shall require the affirmative consent of the Lead Investor.</w:t>
      </w:r>
    </w:p>
    <w:p>
      <w:pPr>
        <w:spacing w:before="80"/>
        <w:jc w:val="both"/>
      </w:pPr>
      <w:r>
        <w:rPr>
          <w:b/>
        </w:rPr>
        <w:t xml:space="preserve">10.3 </w:t>
      </w:r>
      <w:r>
        <w:rPr>
          <w:b/>
        </w:rPr>
        <w:t xml:space="preserve">Dilution. </w:t>
      </w:r>
      <w:r>
        <w:t>Dilution on account of the ESOP Pool, up to the agreed pool size, shall be borne by all Shareholders pro-rata.</w:t>
      </w:r>
    </w:p>
    <w:p>
      <w:pPr>
        <w:spacing w:before="240" w:after="80"/>
        <w:pBdr>
          <w:bottom w:val="single" w:sz="6" w:space="1" w:color="002060"/>
        </w:pBdr>
      </w:pPr>
      <w:r>
        <w:rPr>
          <w:b/>
          <w:color w:val="002060"/>
          <w:sz w:val="25"/>
        </w:rPr>
        <w:t>11.  REPRESENTATIONS AND COVENANTS</w:t>
      </w:r>
    </w:p>
    <w:p>
      <w:pPr>
        <w:spacing w:before="80"/>
        <w:jc w:val="both"/>
      </w:pPr>
      <w:r>
        <w:rPr>
          <w:b/>
        </w:rPr>
        <w:t xml:space="preserve">11.1 </w:t>
      </w:r>
      <w:r>
        <w:rPr>
          <w:b/>
        </w:rPr>
        <w:t xml:space="preserve">Standing Representations. </w:t>
      </w:r>
      <w:r>
        <w:t>Each Party represents and warrants that it has the legal capacity and authority to execute and perform this Agreement, and that this Agreement is binding and enforceable.</w:t>
      </w:r>
    </w:p>
    <w:p>
      <w:pPr>
        <w:spacing w:before="80"/>
        <w:jc w:val="both"/>
      </w:pPr>
      <w:r>
        <w:rPr>
          <w:b/>
        </w:rPr>
        <w:t xml:space="preserve">11.2 </w:t>
      </w:r>
      <w:r>
        <w:rPr>
          <w:b/>
        </w:rPr>
        <w:t xml:space="preserve">Compliance Covenants. </w:t>
      </w:r>
      <w:r>
        <w:t>The Company and Founders shall ensure (a) compliance with all Applicable Law, including the Act, FEMA, IT Act, DPDP Act, GST, Income-tax Act, labour laws, and industry-specific regulations; (b) maintenance of statutory registers; (c) prompt filings (PAS-3, MGT-7, AOC-4, FC-GPR, ESOP, ARF, etc.); (d) maintenance of D&amp;O insurance and key-man insurance; (e) adoption and adherence to Insider Trading Code, POSH Policy, Anti-Bribery Policy, Whistleblower Policy and Data Protection Policy.</w:t>
      </w:r>
    </w:p>
    <w:p>
      <w:pPr>
        <w:spacing w:before="240" w:after="80"/>
        <w:pBdr>
          <w:bottom w:val="single" w:sz="6" w:space="1" w:color="002060"/>
        </w:pBdr>
      </w:pPr>
      <w:r>
        <w:rPr>
          <w:b/>
          <w:color w:val="002060"/>
          <w:sz w:val="25"/>
        </w:rPr>
        <w:t>12.  INDEMNIFICATION</w:t>
      </w:r>
    </w:p>
    <w:p>
      <w:pPr>
        <w:spacing w:before="80"/>
        <w:jc w:val="both"/>
      </w:pPr>
      <w:r>
        <w:rPr>
          <w:b/>
        </w:rPr>
        <w:t xml:space="preserve">12.1 </w:t>
      </w:r>
      <w:r>
        <w:rPr>
          <w:b/>
        </w:rPr>
        <w:t xml:space="preserve">Indemnity. </w:t>
      </w:r>
      <w:r>
        <w:t>The Company and Founders shall jointly and severally indemnify the Investors against losses arising out of (a) breach of this Agreement; (b) breach of Articles; (c) any act, omission or fraud of a Founder; (d) any non-compliance with Applicable Law attributable to acts / omissions of the Company or Founders.</w:t>
      </w:r>
    </w:p>
    <w:p>
      <w:pPr>
        <w:spacing w:before="80"/>
        <w:jc w:val="both"/>
      </w:pPr>
      <w:r>
        <w:rPr>
          <w:b/>
        </w:rPr>
        <w:t xml:space="preserve">12.2 </w:t>
      </w:r>
      <w:r>
        <w:rPr>
          <w:b/>
        </w:rPr>
        <w:t xml:space="preserve">Cap &amp; Survival. </w:t>
      </w:r>
      <w:r>
        <w:t>Save for fraud, wilful misconduct, or breach of Fundamental Warranties, indemnity is capped at the Investor’s Subscription Amount; survival is {{IRA_INDEMNITY_MONTHS}} months for general matters and 7 years for tax / FEMA.</w:t>
      </w:r>
    </w:p>
    <w:p>
      <w:pPr>
        <w:spacing w:before="240" w:after="80"/>
        <w:pBdr>
          <w:bottom w:val="single" w:sz="6" w:space="1" w:color="002060"/>
        </w:pBdr>
      </w:pPr>
      <w:r>
        <w:rPr>
          <w:b/>
          <w:color w:val="002060"/>
          <w:sz w:val="25"/>
        </w:rPr>
        <w:t>13.  TERM AND TERMINATION</w:t>
      </w:r>
    </w:p>
    <w:p>
      <w:pPr>
        <w:spacing w:before="80"/>
        <w:jc w:val="both"/>
      </w:pPr>
      <w:r>
        <w:rPr>
          <w:b/>
        </w:rPr>
        <w:t xml:space="preserve">13.1 </w:t>
      </w:r>
      <w:r>
        <w:rPr>
          <w:b/>
        </w:rPr>
        <w:t xml:space="preserve">Term. </w:t>
      </w:r>
      <w:r>
        <w:t>This Agreement shall come into effect on the Effective Date and continue in full force and effect until terminated under Clause 13.2.</w:t>
      </w:r>
    </w:p>
    <w:p>
      <w:pPr>
        <w:spacing w:before="80"/>
        <w:jc w:val="both"/>
      </w:pPr>
      <w:r>
        <w:rPr>
          <w:b/>
        </w:rPr>
        <w:t xml:space="preserve">13.2 </w:t>
      </w:r>
      <w:r>
        <w:rPr>
          <w:b/>
        </w:rPr>
        <w:t xml:space="preserve">Termination. </w:t>
      </w:r>
      <w:r>
        <w:t>This Agreement shall terminate (a) with respect to an Investor — when such Investor ceases to hold any Securities of the Company; (b) generally — on Qualified IPO, save for provisions surviving IPO (such as standstill, lock-in, confidentiality, indemnity, governing law); or (c) by unanimous written consent of the Parties.</w:t>
      </w:r>
    </w:p>
    <w:p>
      <w:pPr>
        <w:spacing w:before="80"/>
        <w:jc w:val="both"/>
      </w:pPr>
      <w:r>
        <w:rPr>
          <w:b/>
        </w:rPr>
        <w:t xml:space="preserve">13.3 </w:t>
      </w:r>
      <w:r>
        <w:rPr>
          <w:b/>
        </w:rPr>
        <w:t xml:space="preserve">Survival. </w:t>
      </w:r>
      <w:r>
        <w:t>Clauses 1, 9 (in respect of accrued exit rights), 12, 14, 15, 16 and 17 shall survive termination.</w:t>
      </w:r>
    </w:p>
    <w:p>
      <w:pPr>
        <w:spacing w:before="240" w:after="80"/>
        <w:pBdr>
          <w:bottom w:val="single" w:sz="6" w:space="1" w:color="002060"/>
        </w:pBdr>
      </w:pPr>
      <w:r>
        <w:rPr>
          <w:b/>
          <w:color w:val="002060"/>
          <w:sz w:val="25"/>
        </w:rPr>
        <w:t>14.  CONFIDENTIALITY</w:t>
      </w:r>
    </w:p>
    <w:p>
      <w:pPr>
        <w:spacing w:before="80"/>
        <w:jc w:val="both"/>
      </w:pPr>
      <w:r>
        <w:rPr>
          <w:b/>
        </w:rPr>
        <w:t xml:space="preserve">14.1 </w:t>
      </w:r>
      <w:r>
        <w:rPr>
          <w:b/>
        </w:rPr>
        <w:t xml:space="preserve">Definition. </w:t>
      </w:r>
      <w:r>
        <w:t>“Confidential Information” means all non-public information of the Company and the Parties, including the terms of the Transaction Documents, business plans, financials, customer / supplier information, technology, source code and any information that a reasonable Person would understand to be confidential.</w:t>
      </w:r>
    </w:p>
    <w:p>
      <w:pPr>
        <w:spacing w:before="80"/>
        <w:jc w:val="both"/>
      </w:pPr>
      <w:r>
        <w:rPr>
          <w:b/>
        </w:rPr>
        <w:t xml:space="preserve">14.2 </w:t>
      </w:r>
      <w:r>
        <w:rPr>
          <w:b/>
        </w:rPr>
        <w:t xml:space="preserve">Obligations. </w:t>
      </w:r>
      <w:r>
        <w:t>Each Party shall (a) hold Confidential Information in strict confidence; (b) not disclose to any third party except (i) advisors under confidentiality, (ii) LPs / fund advisors for Investors, (iii) under compulsion of law or regulator, (iv) for regulatory filings; and (c) use solely for the purposes of this Agreement.</w:t>
      </w:r>
    </w:p>
    <w:p>
      <w:pPr>
        <w:spacing w:before="240" w:after="80"/>
        <w:pBdr>
          <w:bottom w:val="single" w:sz="6" w:space="1" w:color="002060"/>
        </w:pBdr>
      </w:pPr>
      <w:r>
        <w:rPr>
          <w:b/>
          <w:color w:val="002060"/>
          <w:sz w:val="25"/>
        </w:rPr>
        <w:t>15.  NOTICES</w:t>
      </w:r>
    </w:p>
    <w:p>
      <w:pPr>
        <w:spacing w:before="80"/>
        <w:jc w:val="both"/>
      </w:pPr>
      <w:r>
        <w:rPr>
          <w:b/>
        </w:rPr>
        <w:t xml:space="preserve">15.1 </w:t>
      </w:r>
      <w:r>
        <w:rPr>
          <w:b/>
        </w:rPr>
        <w:t xml:space="preserve">Notices. </w:t>
      </w:r>
      <w:r>
        <w:t>All notices shall be in writing and delivered to the addresses set out in Schedule 7 by hand, registered post, internationally recognised courier or email.</w:t>
      </w:r>
    </w:p>
    <w:p>
      <w:pPr>
        <w:spacing w:before="240" w:after="80"/>
        <w:pBdr>
          <w:bottom w:val="single" w:sz="6" w:space="1" w:color="002060"/>
        </w:pBdr>
      </w:pPr>
      <w:r>
        <w:rPr>
          <w:b/>
          <w:color w:val="002060"/>
          <w:sz w:val="25"/>
        </w:rPr>
        <w:t>16.  GOVERNING LAW AND DISPUTE RESOLUTION</w:t>
      </w:r>
    </w:p>
    <w:p>
      <w:pPr>
        <w:spacing w:before="80"/>
        <w:jc w:val="both"/>
      </w:pPr>
      <w:r>
        <w:rPr>
          <w:b/>
        </w:rPr>
        <w:t xml:space="preserve">16.1 </w:t>
      </w:r>
      <w:r>
        <w:rPr>
          <w:b/>
        </w:rPr>
        <w:t xml:space="preserve">Governing Law. </w:t>
      </w:r>
      <w:r>
        <w:t>This Agreement shall be governed by, and construed in accordance with, the laws of the Republic of India.</w:t>
      </w:r>
    </w:p>
    <w:p>
      <w:pPr>
        <w:spacing w:before="80"/>
        <w:jc w:val="both"/>
      </w:pPr>
      <w:r>
        <w:rPr>
          <w:b/>
        </w:rPr>
        <w:t xml:space="preserve">16.2 </w:t>
      </w:r>
      <w:r>
        <w:rPr>
          <w:b/>
        </w:rPr>
        <w:t xml:space="preserve">Arbitration. </w:t>
      </w:r>
      <w:r>
        <w:t>Any Dispute shall, if not resolved by amicable negotiation within {{NEGOTIATION_DAYS}} days, be referred to arbitration under the Arbitration and Conciliation Act, 1996, by {{ARBITRATOR_NUMBER}} arbitrator(s) under the {{ARBITRATION_INSTITUTION_RULES}} (MCIA / DIAC / SIAC). Seat and venue: {{ARBITRATION_SEAT_CITY}}, India. Language: English.</w:t>
      </w:r>
    </w:p>
    <w:p>
      <w:pPr>
        <w:spacing w:before="80"/>
        <w:jc w:val="both"/>
      </w:pPr>
      <w:r>
        <w:rPr>
          <w:b/>
        </w:rPr>
        <w:t xml:space="preserve">16.3 </w:t>
      </w:r>
      <w:r>
        <w:rPr>
          <w:b/>
        </w:rPr>
        <w:t xml:space="preserve">Jurisdiction. </w:t>
      </w:r>
      <w:r>
        <w:t>Subject to Clause 16.2, the courts at {{JURISDICTION_CITY}} shall have exclusive jurisdiction.</w:t>
      </w:r>
    </w:p>
    <w:p>
      <w:pPr>
        <w:spacing w:before="240" w:after="80"/>
        <w:pBdr>
          <w:bottom w:val="single" w:sz="6" w:space="1" w:color="002060"/>
        </w:pBdr>
      </w:pPr>
      <w:r>
        <w:rPr>
          <w:b/>
          <w:color w:val="002060"/>
          <w:sz w:val="25"/>
        </w:rPr>
        <w:t>17.  MISCELLANEOUS</w:t>
      </w:r>
    </w:p>
    <w:p>
      <w:pPr>
        <w:spacing w:before="80"/>
        <w:jc w:val="both"/>
      </w:pPr>
      <w:r>
        <w:rPr>
          <w:b/>
        </w:rPr>
        <w:t xml:space="preserve">17.1 </w:t>
      </w:r>
      <w:r>
        <w:rPr>
          <w:b/>
        </w:rPr>
        <w:t xml:space="preserve">Entire Agreement. </w:t>
      </w:r>
      <w:r>
        <w:t>This Agreement, together with the SSA, the Articles and the other Transaction Documents, constitutes the entire agreement between the Parties.</w:t>
      </w:r>
    </w:p>
    <w:p>
      <w:pPr>
        <w:spacing w:before="80"/>
        <w:jc w:val="both"/>
      </w:pPr>
      <w:r>
        <w:rPr>
          <w:b/>
        </w:rPr>
        <w:t xml:space="preserve">17.2 </w:t>
      </w:r>
      <w:r>
        <w:rPr>
          <w:b/>
        </w:rPr>
        <w:t xml:space="preserve">Amendment. </w:t>
      </w:r>
      <w:r>
        <w:t>Any amendment shall be in writing signed by (a) the Company; (b) the Majority Investors; and (c) the Founders. An amendment adversely affecting an Investor's specific rights shall require such Investor’s consent.</w:t>
      </w:r>
    </w:p>
    <w:p>
      <w:pPr>
        <w:spacing w:before="80"/>
        <w:jc w:val="both"/>
      </w:pPr>
      <w:r>
        <w:rPr>
          <w:b/>
        </w:rPr>
        <w:t xml:space="preserve">17.3 </w:t>
      </w:r>
      <w:r>
        <w:rPr>
          <w:b/>
        </w:rPr>
        <w:t xml:space="preserve">Severability and Waiver. </w:t>
      </w:r>
      <w:r>
        <w:t>Severability applies; no waiver shall be implied.</w:t>
      </w:r>
    </w:p>
    <w:p>
      <w:pPr>
        <w:spacing w:before="80"/>
        <w:jc w:val="both"/>
      </w:pPr>
      <w:r>
        <w:rPr>
          <w:b/>
        </w:rPr>
        <w:t xml:space="preserve">17.4 </w:t>
      </w:r>
      <w:r>
        <w:rPr>
          <w:b/>
        </w:rPr>
        <w:t xml:space="preserve">Counterparts &amp; E-Sign. </w:t>
      </w:r>
      <w:r>
        <w:t>May be executed in counterparts (including electronically under the IT Act, 2000).</w:t>
      </w:r>
    </w:p>
    <w:p>
      <w:pPr>
        <w:spacing w:before="80"/>
        <w:jc w:val="both"/>
      </w:pPr>
      <w:r>
        <w:rPr>
          <w:b/>
        </w:rPr>
        <w:t xml:space="preserve">17.5 </w:t>
      </w:r>
      <w:r>
        <w:rPr>
          <w:b/>
        </w:rPr>
        <w:t xml:space="preserve">Stamp Duty. </w:t>
      </w:r>
      <w:r>
        <w:t>Stamp duty payable on this Agreement under the applicable State Stamp Act shall be borne by the Company.</w:t>
      </w:r>
    </w:p>
    <w:p>
      <w:pPr>
        <w:spacing w:before="80"/>
        <w:jc w:val="both"/>
      </w:pPr>
      <w:r>
        <w:rPr>
          <w:b/>
        </w:rPr>
        <w:t xml:space="preserve">17.6 </w:t>
      </w:r>
      <w:r>
        <w:rPr>
          <w:b/>
        </w:rPr>
        <w:t xml:space="preserve">Deed of Adherence. </w:t>
      </w:r>
      <w:r>
        <w:t>Any new Shareholder shall, as a condition precedent to becoming a Shareholder, execute a Deed of Adherence in the form annexed at Schedule 8.</w:t>
      </w:r>
    </w:p>
    <w:p>
      <w:pPr>
        <w:spacing w:before="80"/>
        <w:jc w:val="both"/>
      </w:pPr>
      <w:r>
        <w:rPr>
          <w:b/>
        </w:rPr>
        <w:t xml:space="preserve">17.7 </w:t>
      </w:r>
      <w:r>
        <w:rPr>
          <w:b/>
        </w:rPr>
        <w:t xml:space="preserve">Assignment. </w:t>
      </w:r>
      <w:r>
        <w:t>Investors may freely assign rights to Affiliates / managed funds / co-investors. Founders and the Company shall not assign without consent of the Majority Investors.</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Investor Rights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LEAD INVESTOR ({{INVESTOR_1_NAME}})</w:t>
      </w:r>
    </w:p>
    <w:p/>
    <w:p>
      <w:r>
        <w:t>_________________________________</w:t>
      </w:r>
    </w:p>
    <w:p>
      <w:r>
        <w:rPr>
          <w:b/>
        </w:rPr>
        <w:t>Name: {{INVESTOR_1_SIGNATORY_NAME}}</w:t>
      </w:r>
    </w:p>
    <w:p>
      <w:r>
        <w:t>Designation: {{INVESTOR_1_SIGNATORY_DESIGNATION}}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INVESTOR 2 ({{INVESTOR_2_NAME}})</w:t>
      </w:r>
    </w:p>
    <w:p/>
    <w:p>
      <w:r>
        <w:t>_________________________________</w:t>
      </w:r>
    </w:p>
    <w:p>
      <w:r>
        <w:rPr>
          <w:b/>
        </w:rPr>
        <w:t>Name: {{INVESTOR_2_SIGNATORY_NAME}}</w:t>
      </w:r>
    </w:p>
    <w:p>
      <w:r>
        <w:t>Designation: {{INVESTOR_2_SIGNATORY_DESIGNATION}}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1</w:t>
      </w:r>
    </w:p>
    <w:p/>
    <w:p>
      <w:r>
        <w:t>_________________________________</w:t>
      </w:r>
    </w:p>
    <w:p>
      <w:r>
        <w:rPr>
          <w:b/>
        </w:rPr>
        <w:t>Name: {{FOUNDER_1_NAME}}</w:t>
      </w:r>
    </w:p>
    <w:p>
      <w:r>
        <w:t>Designation: {{FOUNDER_1_DESIGNATION}}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2</w:t>
      </w:r>
    </w:p>
    <w:p/>
    <w:p>
      <w:r>
        <w:t>_________________________________</w:t>
      </w:r>
    </w:p>
    <w:p>
      <w:r>
        <w:rPr>
          <w:b/>
        </w:rPr>
        <w:t>Name: {{FOUNDER_2_NAME}}</w:t>
      </w:r>
    </w:p>
    <w:p>
      <w:r>
        <w:t>Designation: {{FOUNDER_2_DESIGNATION}}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RESERVED MATTERS</w:t>
      </w:r>
    </w:p>
    <w:p>
      <w:pPr>
        <w:jc w:val="both"/>
      </w:pPr>
      <w:r>
        <w:rPr>
          <w:b w:val="0"/>
          <w:i w:val="0"/>
        </w:rPr>
        <w:t>The Reserved Matters require the prior written affirmative consent of the Lead Investor (and, where indicated, the Majority Investors):</w:t>
      </w:r>
    </w:p>
    <w:p>
      <w:pPr>
        <w:pStyle w:val="ListBullet"/>
        <w:spacing w:after="40"/>
        <w:ind w:left="567"/>
        <w:jc w:val="both"/>
      </w:pPr>
      <w:r>
        <w:t>Amendment of Memorandum or Articles of Association.</w:t>
      </w:r>
    </w:p>
    <w:p>
      <w:pPr>
        <w:pStyle w:val="ListBullet"/>
        <w:spacing w:after="40"/>
        <w:ind w:left="567"/>
        <w:jc w:val="both"/>
      </w:pPr>
      <w:r>
        <w:t>Change in authorised, issued or paid-up share capital; issuance of new Securities (including by way of preferential allotment, private placement, rights, bonus, ESOP); share buy-back; capital reduction.</w:t>
      </w:r>
    </w:p>
    <w:p>
      <w:pPr>
        <w:pStyle w:val="ListBullet"/>
        <w:spacing w:after="40"/>
        <w:ind w:left="567"/>
        <w:jc w:val="both"/>
      </w:pPr>
      <w:r>
        <w:t>Variation of rights attached to any class of Securities.</w:t>
      </w:r>
    </w:p>
    <w:p>
      <w:pPr>
        <w:pStyle w:val="ListBullet"/>
        <w:spacing w:after="40"/>
        <w:ind w:left="567"/>
        <w:jc w:val="both"/>
      </w:pPr>
      <w:r>
        <w:t>Approval of, or material deviation from, the Annual Business Plan / Budget (deviation &gt; {{BUDGET_DEVIATION_PERCENT}}%).</w:t>
      </w:r>
    </w:p>
    <w:p>
      <w:pPr>
        <w:pStyle w:val="ListBullet"/>
        <w:spacing w:after="40"/>
        <w:ind w:left="567"/>
        <w:jc w:val="both"/>
      </w:pPr>
      <w:r>
        <w:t>Material change in the nature of Business, or commencement of a new line of business.</w:t>
      </w:r>
    </w:p>
    <w:p>
      <w:pPr>
        <w:pStyle w:val="ListBullet"/>
        <w:spacing w:after="40"/>
        <w:ind w:left="567"/>
        <w:jc w:val="both"/>
      </w:pPr>
      <w:r>
        <w:t>Mergers, amalgamations, demergers, schemes of arrangement, joint ventures, strategic alliances, acquisitions or disposals of subsidiaries / material assets.</w:t>
      </w:r>
    </w:p>
    <w:p>
      <w:pPr>
        <w:pStyle w:val="ListBullet"/>
        <w:spacing w:after="40"/>
        <w:ind w:left="567"/>
        <w:jc w:val="both"/>
      </w:pPr>
      <w:r>
        <w:t>Voluntary winding-up, insolvency or dissolution.</w:t>
      </w:r>
    </w:p>
    <w:p>
      <w:pPr>
        <w:pStyle w:val="ListBullet"/>
        <w:spacing w:after="40"/>
        <w:ind w:left="567"/>
        <w:jc w:val="both"/>
      </w:pPr>
      <w:r>
        <w:t>Declaration of any dividend or distribution.</w:t>
      </w:r>
    </w:p>
    <w:p>
      <w:pPr>
        <w:pStyle w:val="ListBullet"/>
        <w:spacing w:after="40"/>
        <w:ind w:left="567"/>
        <w:jc w:val="both"/>
      </w:pPr>
      <w:r>
        <w:t>Borrowing of money in excess of ₹ {{BORROWING_RESERVED_INR}} or creation of any Encumbrance exceeding such amount.</w:t>
      </w:r>
    </w:p>
    <w:p>
      <w:pPr>
        <w:pStyle w:val="ListBullet"/>
        <w:spacing w:after="40"/>
        <w:ind w:left="567"/>
        <w:jc w:val="both"/>
      </w:pPr>
      <w:r>
        <w:t>Capital expenditure exceeding ₹ {{CAPEX_RESERVED_INR}} per transaction or in aggregate in any financial year.</w:t>
      </w:r>
    </w:p>
    <w:p>
      <w:pPr>
        <w:pStyle w:val="ListBullet"/>
        <w:spacing w:after="40"/>
        <w:ind w:left="567"/>
        <w:jc w:val="both"/>
      </w:pPr>
      <w:r>
        <w:t>Related-party transactions, save in the ordinary course of business and on arm’s-length terms (Section 188 of the Act).</w:t>
      </w:r>
    </w:p>
    <w:p>
      <w:pPr>
        <w:pStyle w:val="ListBullet"/>
        <w:spacing w:after="40"/>
        <w:ind w:left="567"/>
        <w:jc w:val="both"/>
      </w:pPr>
      <w:r>
        <w:t>Appointment, removal or change in compensation of any Key Managerial Personnel, including the Chief Executive Officer, Chief Financial Officer and Company Secretary.</w:t>
      </w:r>
    </w:p>
    <w:p>
      <w:pPr>
        <w:pStyle w:val="ListBullet"/>
        <w:spacing w:after="40"/>
        <w:ind w:left="567"/>
        <w:jc w:val="both"/>
      </w:pPr>
      <w:r>
        <w:t>Material change in compensation of any Founder.</w:t>
      </w:r>
    </w:p>
    <w:p>
      <w:pPr>
        <w:pStyle w:val="ListBullet"/>
        <w:spacing w:after="40"/>
        <w:ind w:left="567"/>
        <w:jc w:val="both"/>
      </w:pPr>
      <w:r>
        <w:t>Material change in employment terms, ESOP plan or benefits affecting &gt; 10% of employees.</w:t>
      </w:r>
    </w:p>
    <w:p>
      <w:pPr>
        <w:pStyle w:val="ListBullet"/>
        <w:spacing w:after="40"/>
        <w:ind w:left="567"/>
        <w:jc w:val="both"/>
      </w:pPr>
      <w:r>
        <w:t>Initiation, settlement or compromise of litigation involving claims above ₹ {{LITIGATION_RESERVED_INR}}.</w:t>
      </w:r>
    </w:p>
    <w:p>
      <w:pPr>
        <w:pStyle w:val="ListBullet"/>
        <w:spacing w:after="40"/>
        <w:ind w:left="567"/>
        <w:jc w:val="both"/>
      </w:pPr>
      <w:r>
        <w:t>Appointment or removal of statutory auditors / internal auditors / merchant bankers.</w:t>
      </w:r>
    </w:p>
    <w:p>
      <w:pPr>
        <w:pStyle w:val="ListBullet"/>
        <w:spacing w:after="40"/>
        <w:ind w:left="567"/>
        <w:jc w:val="both"/>
      </w:pPr>
      <w:r>
        <w:t>Adoption of any IPO plan, choice of stock exchange, or material exit transaction.</w:t>
      </w:r>
    </w:p>
    <w:p>
      <w:pPr>
        <w:pStyle w:val="ListBullet"/>
        <w:spacing w:after="40"/>
        <w:ind w:left="567"/>
        <w:jc w:val="both"/>
      </w:pPr>
      <w:r>
        <w:t>Investment in, or loans / guarantees to, any third party exceeding ₹ {{INVESTMENT_RESERVED_INR}}.</w:t>
      </w:r>
    </w:p>
    <w:p>
      <w:pPr>
        <w:pStyle w:val="ListBullet"/>
        <w:spacing w:after="40"/>
        <w:ind w:left="567"/>
        <w:jc w:val="both"/>
      </w:pPr>
      <w:r>
        <w:t>Disposal, license, or assignment of material Intellectual Property.</w:t>
      </w:r>
    </w:p>
    <w:p>
      <w:pPr>
        <w:pStyle w:val="ListBullet"/>
        <w:spacing w:after="40"/>
        <w:ind w:left="567"/>
        <w:jc w:val="both"/>
      </w:pPr>
      <w:r>
        <w:t>Change in registered office, branch office, or principal place of business.</w:t>
      </w:r>
    </w:p>
    <w:p>
      <w:pPr>
        <w:pStyle w:val="ListBullet"/>
        <w:spacing w:after="40"/>
        <w:ind w:left="567"/>
        <w:jc w:val="both"/>
      </w:pPr>
      <w:r>
        <w:t>Change in financial year-end or accounting policies.</w:t>
      </w:r>
    </w:p>
    <w:p>
      <w:pPr>
        <w:pStyle w:val="ListBullet"/>
        <w:spacing w:after="40"/>
        <w:ind w:left="567"/>
        <w:jc w:val="both"/>
      </w:pPr>
      <w:r>
        <w:t>Voluntary delisting, change in dematerialisation status, or any change affecting marketability of Securities.</w:t>
      </w:r>
    </w:p>
    <w:p>
      <w:pPr>
        <w:pStyle w:val="ListBullet"/>
        <w:spacing w:after="40"/>
        <w:ind w:left="567"/>
        <w:jc w:val="both"/>
      </w:pPr>
      <w:r>
        <w:t>Any action that would breach any Transaction Document, the Articles or Applicable Law.</w:t>
      </w:r>
    </w:p>
    <w:p>
      <w:r>
        <w:br w:type="page"/>
      </w:r>
    </w:p>
    <w:p>
      <w:pPr>
        <w:spacing w:before="240" w:after="80"/>
        <w:pBdr>
          <w:bottom w:val="single" w:sz="6" w:space="1" w:color="002060"/>
        </w:pBdr>
      </w:pPr>
      <w:r>
        <w:rPr>
          <w:b/>
          <w:color w:val="002060"/>
          <w:sz w:val="25"/>
        </w:rPr>
        <w:t>SCHEDULE 2 — ANTI-DILUTION FORMULA</w:t>
      </w:r>
    </w:p>
    <w:p>
      <w:pPr>
        <w:jc w:val="both"/>
      </w:pPr>
      <w:r>
        <w:rPr>
          <w:b w:val="0"/>
          <w:i w:val="0"/>
        </w:rPr>
        <w:t>Broad-Based Weighted Average (illustrative). On issuance of new Securities at a price (the “New Issue Price”) lower than the Conversion Price (“CP”), the new Conversion Price (“CP_new”) shall be:</w:t>
      </w:r>
    </w:p>
    <w:p>
      <w:pPr>
        <w:jc w:val="both"/>
      </w:pPr>
      <w:r>
        <w:rPr>
          <w:b/>
          <w:i w:val="0"/>
        </w:rPr>
        <w:t>CP_new = CP × (A + B) / (A + C)</w:t>
      </w:r>
    </w:p>
    <w:p>
      <w:pPr>
        <w:jc w:val="both"/>
      </w:pPr>
      <w:r>
        <w:rPr>
          <w:b w:val="0"/>
          <w:i w:val="0"/>
        </w:rPr>
        <w:t>Where:</w:t>
      </w:r>
    </w:p>
    <w:p>
      <w:pPr>
        <w:pStyle w:val="ListBullet"/>
        <w:spacing w:after="40"/>
        <w:ind w:left="567"/>
        <w:jc w:val="both"/>
      </w:pPr>
      <w:r>
        <w:t>A = number of Securities outstanding immediately prior to the dilutive issuance (on a fully diluted, as-converted basis);</w:t>
      </w:r>
    </w:p>
    <w:p>
      <w:pPr>
        <w:pStyle w:val="ListBullet"/>
        <w:spacing w:after="40"/>
        <w:ind w:left="567"/>
        <w:jc w:val="both"/>
      </w:pPr>
      <w:r>
        <w:t>B = number of Securities that would have been issued had the new Securities been issued at the Conversion Price (i.e., Aggregate Consideration ÷ CP);</w:t>
      </w:r>
    </w:p>
    <w:p>
      <w:pPr>
        <w:pStyle w:val="ListBullet"/>
        <w:spacing w:after="40"/>
        <w:ind w:left="567"/>
        <w:jc w:val="both"/>
      </w:pPr>
      <w:r>
        <w:t>C = actual number of new Securities issued at the New Issue Price.</w:t>
      </w:r>
    </w:p>
    <w:p>
      <w:pPr>
        <w:jc w:val="both"/>
      </w:pPr>
      <w:r>
        <w:rPr>
          <w:b w:val="0"/>
          <w:i w:val="0"/>
        </w:rPr>
        <w:t>For Narrow-Based Weighted Average, A excludes ESOP Pool and other reserved securities not currently issued. For Full Ratchet, CP_new = New Issue Price.</w:t>
      </w:r>
    </w:p>
    <w:p>
      <w:r>
        <w:br w:type="page"/>
      </w:r>
    </w:p>
    <w:p>
      <w:pPr>
        <w:spacing w:before="240" w:after="80"/>
        <w:pBdr>
          <w:bottom w:val="single" w:sz="6" w:space="1" w:color="002060"/>
        </w:pBdr>
      </w:pPr>
      <w:r>
        <w:rPr>
          <w:b/>
          <w:color w:val="002060"/>
          <w:sz w:val="25"/>
        </w:rPr>
        <w:t>SCHEDULE 3 — ROFR MECHANICS (FOUNDER TRANSFERS)</w:t>
      </w:r>
    </w:p>
    <w:p>
      <w:pPr>
        <w:pStyle w:val="ListBullet"/>
        <w:spacing w:after="40"/>
        <w:ind w:left="567"/>
        <w:jc w:val="both"/>
      </w:pPr>
      <w:r>
        <w:t>Selling Founder shall issue a written Offer Notice to the Investors specifying (a) identity of the proposed third-party transferee; (b) number of Securities to be Transferred; (c) price per Security; (d) all material terms.</w:t>
      </w:r>
    </w:p>
    <w:p>
      <w:pPr>
        <w:pStyle w:val="ListBullet"/>
        <w:spacing w:after="40"/>
        <w:ind w:left="567"/>
        <w:jc w:val="both"/>
      </w:pPr>
      <w:r>
        <w:t>Investors shall have {{ROFR_DAYS}} Business Days to accept (in whole or pro-rata).</w:t>
      </w:r>
    </w:p>
    <w:p>
      <w:pPr>
        <w:pStyle w:val="ListBullet"/>
        <w:spacing w:after="40"/>
        <w:ind w:left="567"/>
        <w:jc w:val="both"/>
      </w:pPr>
      <w:r>
        <w:t>On lapse / non-acceptance, the Selling Founder may complete the Transfer to the third party within {{ROFR_TRANSFER_DAYS}} days, at a price not lower and on terms not more favourable than the Offer Notice.</w:t>
      </w:r>
    </w:p>
    <w:p>
      <w:pPr>
        <w:pStyle w:val="ListBullet"/>
        <w:spacing w:after="40"/>
        <w:ind w:left="567"/>
        <w:jc w:val="both"/>
      </w:pPr>
      <w:r>
        <w:t>Any change in price or terms requires a fresh Offer Notice.</w:t>
      </w:r>
    </w:p>
    <w:p>
      <w:r>
        <w:br w:type="page"/>
      </w:r>
    </w:p>
    <w:p>
      <w:pPr>
        <w:spacing w:before="240" w:after="80"/>
        <w:pBdr>
          <w:bottom w:val="single" w:sz="6" w:space="1" w:color="002060"/>
        </w:pBdr>
      </w:pPr>
      <w:r>
        <w:rPr>
          <w:b/>
          <w:color w:val="002060"/>
          <w:sz w:val="25"/>
        </w:rPr>
        <w:t>SCHEDULE 4 — TAG-ALONG MECHANICS</w:t>
      </w:r>
    </w:p>
    <w:p>
      <w:pPr>
        <w:pStyle w:val="ListBullet"/>
        <w:spacing w:after="40"/>
        <w:ind w:left="567"/>
        <w:jc w:val="both"/>
      </w:pPr>
      <w:r>
        <w:t>If the ROFR is not fully exercised, the Investors may elect within {{TAG_DAYS}} Business Days of the Offer Notice to “tag along”.</w:t>
      </w:r>
    </w:p>
    <w:p>
      <w:pPr>
        <w:pStyle w:val="ListBullet"/>
        <w:spacing w:after="40"/>
        <w:ind w:left="567"/>
        <w:jc w:val="both"/>
      </w:pPr>
      <w:r>
        <w:t>The third-party purchaser shall be required to purchase the Investor Securities on a pro-rata basis, at the same price and on the same terms.</w:t>
      </w:r>
    </w:p>
    <w:p>
      <w:pPr>
        <w:pStyle w:val="ListBullet"/>
        <w:spacing w:after="40"/>
        <w:ind w:left="567"/>
        <w:jc w:val="both"/>
      </w:pPr>
      <w:r>
        <w:t>If the third party refuses to purchase the Investor Securities so tagged, the Selling Founder cannot complete the Transfer.</w:t>
      </w:r>
    </w:p>
    <w:p>
      <w:r>
        <w:br w:type="page"/>
      </w:r>
    </w:p>
    <w:p>
      <w:pPr>
        <w:spacing w:before="240" w:after="80"/>
        <w:pBdr>
          <w:bottom w:val="single" w:sz="6" w:space="1" w:color="002060"/>
        </w:pBdr>
      </w:pPr>
      <w:r>
        <w:rPr>
          <w:b/>
          <w:color w:val="002060"/>
          <w:sz w:val="25"/>
        </w:rPr>
        <w:t>SCHEDULE 5 — DRAG-ALONG MECHANICS</w:t>
      </w:r>
    </w:p>
    <w:p>
      <w:pPr>
        <w:pStyle w:val="ListBullet"/>
        <w:spacing w:after="40"/>
        <w:ind w:left="567"/>
        <w:jc w:val="both"/>
      </w:pPr>
      <w:r>
        <w:t>Drag Trigger: bona-fide offer from a third party purchaser to acquire 100% of the Securities, accepted by the Majority Investors (≥ {{DRAG_THRESHOLD_PERCENT}}% of Investor Securities), after the {{DRAG_AFTER_YEARS}}th anniversary of the Effective Date.</w:t>
      </w:r>
    </w:p>
    <w:p>
      <w:pPr>
        <w:pStyle w:val="ListBullet"/>
        <w:spacing w:after="40"/>
        <w:ind w:left="567"/>
        <w:jc w:val="both"/>
      </w:pPr>
      <w:r>
        <w:t>Drag Notice to all Shareholders specifying purchaser, price, terms and closing date.</w:t>
      </w:r>
    </w:p>
    <w:p>
      <w:pPr>
        <w:pStyle w:val="ListBullet"/>
        <w:spacing w:after="40"/>
        <w:ind w:left="567"/>
        <w:jc w:val="both"/>
      </w:pPr>
      <w:r>
        <w:t>All Shareholders shall be obliged to Transfer their Securities at the same price and on the same terms, save that (a) the price must equal or exceed the higher of (i) Liquidation Preference; and (ii) Fair Market Value; and (b) no Shareholder shall be required to give representations beyond title, capacity and authority.</w:t>
      </w:r>
    </w:p>
    <w:p>
      <w:pPr>
        <w:pStyle w:val="ListBullet"/>
        <w:spacing w:after="40"/>
        <w:ind w:left="567"/>
        <w:jc w:val="both"/>
      </w:pPr>
      <w:r>
        <w:t>Founders shall, in addition, give customary business warranties on a pro-rata basis (capped at proceeds received).</w:t>
      </w:r>
    </w:p>
    <w:p>
      <w:pPr>
        <w:pStyle w:val="ListBullet"/>
        <w:spacing w:after="40"/>
        <w:ind w:left="567"/>
        <w:jc w:val="both"/>
      </w:pPr>
      <w:r>
        <w:t>Power of Attorney: each Shareholder hereby grants an irrevocable Power of Attorney in favour of the Lead Investor for the limited purpose of effecting the drag-along, registrable under the Indian Stamp Act.</w:t>
      </w:r>
    </w:p>
    <w:p>
      <w:r>
        <w:br w:type="page"/>
      </w:r>
    </w:p>
    <w:p>
      <w:pPr>
        <w:spacing w:before="240" w:after="80"/>
        <w:pBdr>
          <w:bottom w:val="single" w:sz="6" w:space="1" w:color="002060"/>
        </w:pBdr>
      </w:pPr>
      <w:r>
        <w:rPr>
          <w:b/>
          <w:color w:val="002060"/>
          <w:sz w:val="25"/>
        </w:rPr>
        <w:t>SCHEDULE 6 — COMPETING BUSINESS</w:t>
      </w:r>
    </w:p>
    <w:p>
      <w:pPr>
        <w:jc w:val="both"/>
      </w:pPr>
      <w:r>
        <w:rPr>
          <w:b w:val="0"/>
          <w:i w:val="0"/>
        </w:rPr>
        <w:t>“Competing Business” means any business engaged in {{COMPETING_BUSINESS_DESCRIPTION}} in {{COMPETING_BUSINESS_TERRITORY}} (including India and such other markets where the Company carries on business).</w:t>
      </w:r>
    </w:p>
    <w:p>
      <w:r>
        <w:br w:type="page"/>
      </w:r>
    </w:p>
    <w:p>
      <w:pPr>
        <w:spacing w:before="240" w:after="80"/>
        <w:pBdr>
          <w:bottom w:val="single" w:sz="6" w:space="1" w:color="002060"/>
        </w:pBdr>
      </w:pPr>
      <w:r>
        <w:rPr>
          <w:b/>
          <w:color w:val="002060"/>
          <w:sz w:val="25"/>
        </w:rPr>
        <w:t>SCHEDULE 7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{{INVESTOR_1_NAME}}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{{INVESTOR_1_NOTICE_EMAIL}}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{{INVESTOR_2_NAME}}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{{INVESTOR_2_NOTICE_ADDRESS}}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{{INVESTOR_2_NOTICE_EMAIL}}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{{INVESTOR_2_ATTN}}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{{FOUNDER_2_NOTICE_ADDRESS}}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bl>
    <w:p/>
    <w:p>
      <w:r>
        <w:br w:type="page"/>
      </w:r>
    </w:p>
    <w:p>
      <w:pPr>
        <w:spacing w:before="240" w:after="80"/>
        <w:pBdr>
          <w:bottom w:val="single" w:sz="6" w:space="1" w:color="002060"/>
        </w:pBdr>
      </w:pPr>
      <w:r>
        <w:rPr>
          <w:b/>
          <w:color w:val="002060"/>
          <w:sz w:val="25"/>
        </w:rPr>
        <w:t>SCHEDULE 8 — FORM OF DEED OF ADHERENCE</w:t>
      </w:r>
    </w:p>
    <w:p>
      <w:pPr>
        <w:jc w:val="both"/>
      </w:pPr>
      <w:r>
        <w:rPr>
          <w:b w:val="0"/>
          <w:i w:val="0"/>
        </w:rPr>
        <w:t>THIS DEED OF ADHERENCE is made on the ____ day of ______, 20__ by {{ADHERING_PERSON_NAME}} (the “Adhering Party”).</w:t>
      </w:r>
    </w:p>
    <w:p>
      <w:pPr>
        <w:jc w:val="both"/>
      </w:pPr>
      <w:r>
        <w:rPr>
          <w:b w:val="0"/>
          <w:i w:val="0"/>
        </w:rPr>
        <w:t>WHEREAS:</w:t>
      </w:r>
    </w:p>
    <w:p>
      <w:pPr>
        <w:jc w:val="both"/>
      </w:pPr>
      <w:r>
        <w:rPr>
          <w:b w:val="0"/>
          <w:i w:val="0"/>
        </w:rPr>
        <w:t>(a) The Adhering Party has acquired / proposes to acquire {{ADHERING_SHARES}} Securities of {{COMPANY_NAME}}; and</w:t>
      </w:r>
    </w:p>
    <w:p>
      <w:pPr>
        <w:jc w:val="both"/>
      </w:pPr>
      <w:r>
        <w:rPr>
          <w:b w:val="0"/>
          <w:i w:val="0"/>
        </w:rPr>
        <w:t>(b) The Investor Rights Agreement dated {{IRA_DATE}} (the “IRA”) requires the Adhering Party to execute this Deed of Adherence as a condition precedent.</w:t>
      </w:r>
    </w:p>
    <w:p>
      <w:pPr>
        <w:jc w:val="both"/>
      </w:pPr>
      <w:r>
        <w:rPr>
          <w:b w:val="0"/>
          <w:i w:val="0"/>
        </w:rPr>
        <w:t>NOW THEREFORE, the Adhering Party hereby covenants with each Party to the IRA that the Adhering Party shall, on and from the date hereof, be bound by, and entitled to the benefit of, the IRA as if it were an original party thereto in the capacity of {{ADHERING_PARTY_CATEGORY}} (Investor / Founder / Other).</w:t>
      </w:r>
    </w:p>
    <w:p>
      <w:pPr>
        <w:jc w:val="both"/>
      </w:pPr>
      <w:r>
        <w:rPr>
          <w:b w:val="0"/>
          <w:i w:val="0"/>
        </w:rPr>
        <w:t>This Deed shall be governed by the laws of India.</w:t>
      </w:r>
    </w:p>
    <w:p/>
    <w:p>
      <w:pPr>
        <w:jc w:val="both"/>
      </w:pPr>
      <w:r>
        <w:rPr>
          <w:b w:val="0"/>
          <w:i w:val="0"/>
        </w:rPr>
        <w:t>SIGNED AND DELIVERED by {{ADHERING_PERSON_NAME}}</w:t>
      </w:r>
    </w:p>
    <w:p>
      <w:pPr>
        <w:jc w:val="both"/>
      </w:pPr>
      <w:r>
        <w:rPr>
          <w:b w:val="0"/>
          <w:i w:val="0"/>
        </w:rPr>
        <w:t>Signature: ____________________</w:t>
      </w:r>
    </w:p>
    <w:p>
      <w:pPr>
        <w:jc w:val="both"/>
      </w:pPr>
      <w:r>
        <w:rPr>
          <w:b w:val="0"/>
          <w:i w:val="0"/>
        </w:rPr>
        <w:t>Date: ____________________</w:t>
      </w:r>
    </w:p>
    <w:p>
      <w:pPr>
        <w:jc w:val="both"/>
      </w:pPr>
      <w:r>
        <w:rPr>
          <w:b w:val="0"/>
          <w:i w:val="0"/>
        </w:rPr>
        <w:t>Place: ____________________</w:t>
      </w:r>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The Articles of Association must be amended to mirror this IRA. Without mirroring, investor rights are contractually enforceable but may not bind third-party transferees / the Company in proceedings under the Act.</w:t>
      </w:r>
    </w:p>
    <w:p>
      <w:pPr>
        <w:pStyle w:val="ListBullet"/>
        <w:spacing w:after="40"/>
        <w:ind w:left="567"/>
        <w:jc w:val="both"/>
      </w:pPr>
      <w:r>
        <w:t>Affirmative voting / consent rights of Investors are recognised by Indian courts as valid (World Phone India Pvt. Ltd. v. WPI Group; Vodafone International Holdings v. UoI; etc.) so long as they are mirrored in the AoA.</w:t>
      </w:r>
    </w:p>
    <w:p>
      <w:pPr>
        <w:pStyle w:val="ListBullet"/>
        <w:spacing w:after="40"/>
        <w:ind w:left="567"/>
        <w:jc w:val="both"/>
      </w:pPr>
      <w:r>
        <w:t>Drag-along provisions are enforceable but require careful drafting given the SC's decision in *Messer Holdings v. Shyam Madanmohan Ruia* — restrictions on transferability of securities of a private company are valid; private agreements amongst shareholders binding contractually.</w:t>
      </w:r>
    </w:p>
    <w:p>
      <w:pPr>
        <w:pStyle w:val="ListBullet"/>
        <w:spacing w:after="40"/>
        <w:ind w:left="567"/>
        <w:jc w:val="both"/>
      </w:pPr>
      <w:r>
        <w:t>Liquidation preference paid out as preferential dividend on liquidation must be reconciled with priorities under Section 327 of the Act / IBC, 2016 — secured creditors and workmen have statutory priority.</w:t>
      </w:r>
    </w:p>
    <w:p>
      <w:pPr>
        <w:pStyle w:val="ListBullet"/>
        <w:spacing w:after="40"/>
        <w:ind w:left="567"/>
        <w:jc w:val="both"/>
      </w:pPr>
      <w:r>
        <w:t>Anti-dilution: Section 56(2)(viib) / Rule 11UA may impact pricing on subsequent rounds; DPIIT angel-tax exemption available to eligible start-ups.</w:t>
      </w:r>
    </w:p>
    <w:p>
      <w:pPr>
        <w:pStyle w:val="ListBullet"/>
        <w:spacing w:after="40"/>
        <w:ind w:left="567"/>
        <w:jc w:val="both"/>
      </w:pPr>
      <w:r>
        <w:t>Put options to non-resident investors must comply with RBI 9 Jan 2014 circular — Fair Market Value floor; minimum lock-in 1 year; no assured return.</w:t>
      </w:r>
    </w:p>
    <w:p>
      <w:pPr>
        <w:pStyle w:val="ListBullet"/>
        <w:spacing w:after="40"/>
        <w:ind w:left="567"/>
        <w:jc w:val="both"/>
      </w:pPr>
      <w:r>
        <w:t>Stamp duty on the IRA varies by State. In Maharashtra, agreements typically attract ₹100–₹500 stamp duty.</w:t>
      </w:r>
    </w:p>
    <w:p>
      <w:pPr>
        <w:pStyle w:val="ListBullet"/>
        <w:spacing w:after="40"/>
        <w:ind w:left="567"/>
        <w:jc w:val="both"/>
      </w:pPr>
      <w:r>
        <w:t>Disclosure of beneficial ownership under Section 89 / 90 of the Act and the Companies (Significant Beneficial Owners) Rules, 2018 — applicable for fund Investors with multiple layers; Form BEN-2 to be filed.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