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60"/>
        <w:jc w:val="center"/>
      </w:pPr>
      <w:r>
        <w:rPr>
          <w:b/>
          <w:color w:val="002060"/>
          <w:sz w:val="40"/>
        </w:rPr>
        <w:t>RIGHT OF FIRST OFFER AGREEMENT</w:t>
      </w:r>
    </w:p>
    <w:p>
      <w:pPr>
        <w:spacing w:before="200" w:after="160"/>
        <w:jc w:val="center"/>
      </w:pPr>
      <w:r>
        <w:rPr>
          <w:b/>
          <w:color w:val="002060"/>
          <w:sz w:val="26"/>
        </w:rPr>
        <w:t>(India — Private Limited Company)</w:t>
      </w:r>
    </w:p>
    <w:p>
      <w:r>
        <w:rPr>
          <w:b w:val="0"/>
          <w:i/>
        </w:rPr>
        <w:t>Executed on this {{EXECUTION_DAY}} day of {{EXECUTION_MONTH}}, {{EXECUTION_YEAR}} at {{EXECUTION_PLACE}}, India.</w:t>
      </w:r>
    </w:p>
    <w:p/>
    <w:p>
      <w:pPr>
        <w:spacing w:before="240" w:after="80"/>
        <w:pBdr>
          <w:bottom w:val="single" w:sz="6" w:space="1" w:color="002060"/>
        </w:pBdr>
      </w:pPr>
      <w:r>
        <w:rPr>
          <w:b/>
          <w:color w:val="002060"/>
          <w:sz w:val="25"/>
        </w:rPr>
        <w:t>DOCUMENT SUMMARY</w:t>
      </w:r>
    </w:p>
    <w:tbl>
      <w:tblPr>
        <w:tblW w:type="auto" w:w="0"/>
        <w:jc w:val="center"/>
        <w:tblLayout w:type="fixed"/>
        <w:tblLook w:firstColumn="1" w:firstRow="1" w:lastColumn="0" w:lastRow="0" w:noHBand="0" w:noVBand="1" w:val="04A0"/>
      </w:tblPr>
      <w:tblGrid>
        <w:gridCol w:w="4873"/>
        <w:gridCol w:w="4873"/>
      </w:tblGrid>
      <w:tr>
        <w:tc>
          <w:tcPr>
            <w:tcW w:type="dxa" w:w="3685"/>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Field</w:t>
            </w:r>
          </w:p>
        </w:tc>
        <w:tc>
          <w:tcPr>
            <w:tcW w:type="dxa" w:w="5669"/>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Value</w:t>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Company</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{{COMPANY_NAME}} (CIN: {{COMPANY_CIN}})</w:t>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Effective Date</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{{EFFECTIVE_DATE}}</w:t>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Right Holders</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{{RIGHT_HOLDERS_DESCRIPTION}}</w:t>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Restricted Sellers</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{{RESTRICTED_SELLERS_DESCRIPTION}}</w:t>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ROFO Negotiation Period</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{{ROFO_NEGOTIATION_DAYS}} Business Days</w:t>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Third-Party Sale Window (Post-Lapse)</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{{ROFO_MARKET_WINDOW_DAYS}} days</w:t>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Minimum Premium over ROFO Price for Market Sale</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{{ROFO_MIN_PREMIUM_PERCENT}}%</w:t>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Governing Law</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Laws of the Republic of India</w:t>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Seat of Arbitration</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{{ARBITRATION_SEAT_CITY}}, India</w:t>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Stamp Duty Paid (₹)</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{{STAMP_DUTY_AMOUNT}}</w:t>
            </w:r>
          </w:p>
        </w:tc>
      </w:tr>
    </w:tbl>
    <w:p/>
    <w:p>
      <w:pPr>
        <w:spacing w:before="240" w:after="80"/>
        <w:pBdr>
          <w:bottom w:val="single" w:sz="6" w:space="1" w:color="002060"/>
        </w:pBdr>
      </w:pPr>
      <w:r>
        <w:rPr>
          <w:b/>
          <w:color w:val="002060"/>
          <w:sz w:val="25"/>
        </w:rPr>
        <w:t>PARTIES</w:t>
      </w:r>
    </w:p>
    <w:p>
      <w:pPr>
        <w:jc w:val="both"/>
      </w:pPr>
      <w:r>
        <w:rPr>
          <w:b w:val="0"/>
          <w:i w:val="0"/>
        </w:rPr>
        <w:t>This Right of First Offer Agreement (the “Agreement”) is made BY AND AMONGST:</w:t>
      </w:r>
    </w:p>
    <w:p>
      <w:pPr>
        <w:jc w:val="both"/>
      </w:pPr>
      <w:r>
        <w:rPr>
          <w:b w:val="0"/>
          <w:i w:val="0"/>
        </w:rPr>
        <w:t>1.  {{COMPANY_NAME}}, a company incorporated under the Companies Act, 2013, having CIN {{COMPANY_CIN}}, with its registered office at {{COMPANY_REGISTERED_OFFICE}} (the “Company”);</w:t>
      </w:r>
    </w:p>
    <w:p>
      <w:pPr>
        <w:jc w:val="both"/>
      </w:pPr>
      <w:r>
        <w:rPr>
          <w:b w:val="0"/>
          <w:i w:val="0"/>
        </w:rPr>
        <w:t>2.  {{RESTRICTED_SELLER_1_NAME}}, residing at {{RESTRICTED_SELLER_1_ADDRESS}} (“Restricted Seller 1”);</w:t>
      </w:r>
    </w:p>
    <w:p>
      <w:pPr>
        <w:jc w:val="both"/>
      </w:pPr>
      <w:r>
        <w:rPr>
          <w:b w:val="0"/>
          <w:i w:val="0"/>
        </w:rPr>
        <w:t>3.  {{RESTRICTED_SELLER_2_NAME}}, residing at {{RESTRICTED_SELLER_2_ADDRESS}} (“Restricted Seller 2”);</w:t>
      </w:r>
    </w:p>
    <w:p>
      <w:pPr>
        <w:jc w:val="both"/>
      </w:pPr>
      <w:r>
        <w:rPr>
          <w:b w:val="0"/>
          <w:i/>
          <w:sz w:val="18"/>
        </w:rPr>
        <w:t>[Add additional Restricted Sellers as required.]</w:t>
      </w:r>
    </w:p>
    <w:p>
      <w:pPr>
        <w:jc w:val="both"/>
      </w:pPr>
      <w:r>
        <w:rPr>
          <w:b w:val="0"/>
          <w:i w:val="0"/>
        </w:rPr>
        <w:t>4.  {{RIGHT_HOLDER_1_NAME}}, {{RIGHT_HOLDER_1_DESCRIPTION}}, with address at {{RIGHT_HOLDER_1_ADDRESS}} (“Right Holder 1”);</w:t>
      </w:r>
    </w:p>
    <w:p>
      <w:pPr>
        <w:jc w:val="both"/>
      </w:pPr>
      <w:r>
        <w:rPr>
          <w:b w:val="0"/>
          <w:i w:val="0"/>
        </w:rPr>
        <w:t>5.  {{RIGHT_HOLDER_2_NAME}}, {{RIGHT_HOLDER_2_DESCRIPTION}}, with address at {{RIGHT_HOLDER_2_ADDRESS}} (“Right Holder 2”).</w:t>
      </w:r>
    </w:p>
    <w:p>
      <w:pPr>
        <w:jc w:val="both"/>
      </w:pPr>
      <w:r>
        <w:rPr>
          <w:b w:val="0"/>
          <w:i w:val="0"/>
        </w:rPr>
        <w:t>Together, the “Parties”; individually a “Party”.</w:t>
      </w:r>
    </w:p>
    <w:p>
      <w:pPr>
        <w:spacing w:before="240" w:after="80"/>
        <w:pBdr>
          <w:bottom w:val="single" w:sz="6" w:space="1" w:color="002060"/>
        </w:pBdr>
      </w:pPr>
      <w:r>
        <w:rPr>
          <w:b/>
          <w:color w:val="002060"/>
          <w:sz w:val="25"/>
        </w:rPr>
        <w:t>RECITALS</w:t>
      </w:r>
    </w:p>
    <w:p>
      <w:pPr>
        <w:spacing w:before="40"/>
        <w:ind w:left="454"/>
        <w:jc w:val="both"/>
      </w:pPr>
      <w:r>
        <w:rPr>
          <w:b/>
        </w:rPr>
        <w:t xml:space="preserve">A. </w:t>
      </w:r>
      <w:r>
        <w:t>The Company is engaged in the business of {{BUSINESS_DESCRIPTION}}.</w:t>
      </w:r>
    </w:p>
    <w:p>
      <w:pPr>
        <w:spacing w:before="40"/>
        <w:ind w:left="454"/>
        <w:jc w:val="both"/>
      </w:pPr>
      <w:r>
        <w:rPr>
          <w:b/>
        </w:rPr>
        <w:t xml:space="preserve">B. </w:t>
      </w:r>
      <w:r>
        <w:t>The Restricted Sellers hold the Securities of the Company set out in Schedule 1 (the “Restricted Securities”).</w:t>
      </w:r>
    </w:p>
    <w:p>
      <w:pPr>
        <w:spacing w:before="40"/>
        <w:ind w:left="454"/>
        <w:jc w:val="both"/>
      </w:pPr>
      <w:r>
        <w:rPr>
          <w:b/>
        </w:rPr>
        <w:t xml:space="preserve">C. </w:t>
      </w:r>
      <w:r>
        <w:t>The Right Holders hold the Securities of the Company set out in Schedule 1.</w:t>
      </w:r>
    </w:p>
    <w:p>
      <w:pPr>
        <w:spacing w:before="40"/>
        <w:ind w:left="454"/>
        <w:jc w:val="both"/>
      </w:pPr>
      <w:r>
        <w:rPr>
          <w:b/>
        </w:rPr>
        <w:t xml:space="preserve">D. </w:t>
      </w:r>
      <w:r>
        <w:t>The Parties have agreed that any Transfer by a Restricted Seller of Restricted Securities shall be subject to a right of first offer in favour of the Right Holders, on the terms set out in this Agreement, to be reflected in the Articles of Association of the Company.</w:t>
      </w:r>
    </w:p>
    <w:p/>
    <w:p>
      <w:pPr>
        <w:jc w:val="both"/>
      </w:pPr>
      <w:r>
        <w:rPr>
          <w:b/>
          <w:i w:val="0"/>
        </w:rPr>
        <w:t>NOW THEREFORE, the Parties agree as follows:</w:t>
      </w:r>
    </w:p>
    <w:p>
      <w:r>
        <w:br w:type="page"/>
      </w:r>
    </w:p>
    <w:p>
      <w:pPr>
        <w:spacing w:before="240" w:after="80"/>
        <w:pBdr>
          <w:bottom w:val="single" w:sz="6" w:space="1" w:color="002060"/>
        </w:pBdr>
      </w:pPr>
      <w:r>
        <w:rPr>
          <w:b/>
          <w:color w:val="002060"/>
          <w:sz w:val="25"/>
        </w:rPr>
        <w:t>1.  DEFINITIONS AND INTERPRETATION</w:t>
      </w:r>
    </w:p>
    <w:tbl>
      <w:tblPr>
        <w:tblW w:type="auto" w:w="0"/>
        <w:jc w:val="center"/>
        <w:tblLayout w:type="fixed"/>
        <w:tblLook w:firstColumn="1" w:firstRow="1" w:lastColumn="0" w:lastRow="0" w:noHBand="0" w:noVBand="1" w:val="04A0"/>
      </w:tblPr>
      <w:tblGrid>
        <w:gridCol w:w="4873"/>
        <w:gridCol w:w="4873"/>
      </w:tblGrid>
      <w:tr>
        <w:tc>
          <w:tcPr>
            <w:tcW w:type="dxa" w:w="255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Term</w:t>
            </w:r>
          </w:p>
        </w:tc>
        <w:tc>
          <w:tcPr>
            <w:tcW w:type="dxa" w:w="6803"/>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Definition</w:t>
            </w:r>
          </w:p>
        </w:tc>
      </w:tr>
      <w:tr>
        <w:tc>
          <w:tcPr>
            <w:tcW w:type="dxa" w:w="2551"/>
            <w:tcBorders>
              <w:top w:val="single" w:sz="4" w:color="808080"/>
              <w:left w:val="single" w:sz="4" w:color="808080"/>
              <w:bottom w:val="single" w:sz="4" w:color="808080"/>
              <w:right w:val="single" w:sz="4" w:color="808080"/>
            </w:tcBorders>
            <w:vAlign w:val="center"/>
          </w:tcPr>
          <w:p>
            <w:pPr>
              <w:jc w:val="left"/>
            </w:pPr>
            <w:r/>
            <w:r>
              <w:rPr>
                <w:b/>
                <w:sz w:val="21"/>
              </w:rPr>
              <w:t>“Act”</w:t>
            </w:r>
          </w:p>
        </w:tc>
        <w:tc>
          <w:tcPr>
            <w:tcW w:type="dxa" w:w="6803"/>
            <w:tcBorders>
              <w:top w:val="single" w:sz="4" w:color="808080"/>
              <w:left w:val="single" w:sz="4" w:color="808080"/>
              <w:bottom w:val="single" w:sz="4" w:color="808080"/>
              <w:right w:val="single" w:sz="4" w:color="808080"/>
            </w:tcBorders>
            <w:vAlign w:val="center"/>
          </w:tcPr>
          <w:p>
            <w:pPr>
              <w:jc w:val="left"/>
            </w:pPr>
            <w:r/>
            <w:r>
              <w:rPr>
                <w:sz w:val="21"/>
              </w:rPr>
              <w:t>the Companies Act, 2013.</w:t>
            </w:r>
          </w:p>
        </w:tc>
      </w:tr>
      <w:tr>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“Acceptance Notice”</w:t>
            </w:r>
          </w:p>
        </w:tc>
        <w:tc>
          <w:tcPr>
            <w:tcW w:type="dxa" w:w="680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as defined in Clause 3.4.</w:t>
            </w:r>
          </w:p>
        </w:tc>
      </w:tr>
      <w:tr>
        <w:tc>
          <w:tcPr>
            <w:tcW w:type="dxa" w:w="2551"/>
            <w:tcBorders>
              <w:top w:val="single" w:sz="4" w:color="808080"/>
              <w:left w:val="single" w:sz="4" w:color="808080"/>
              <w:bottom w:val="single" w:sz="4" w:color="808080"/>
              <w:right w:val="single" w:sz="4" w:color="808080"/>
            </w:tcBorders>
            <w:vAlign w:val="center"/>
          </w:tcPr>
          <w:p>
            <w:pPr>
              <w:jc w:val="left"/>
            </w:pPr>
            <w:r/>
            <w:r>
              <w:rPr>
                <w:b/>
                <w:sz w:val="21"/>
              </w:rPr>
              <w:t>“Business Day”</w:t>
            </w:r>
          </w:p>
        </w:tc>
        <w:tc>
          <w:tcPr>
            <w:tcW w:type="dxa" w:w="6803"/>
            <w:tcBorders>
              <w:top w:val="single" w:sz="4" w:color="808080"/>
              <w:left w:val="single" w:sz="4" w:color="808080"/>
              <w:bottom w:val="single" w:sz="4" w:color="808080"/>
              <w:right w:val="single" w:sz="4" w:color="808080"/>
            </w:tcBorders>
            <w:vAlign w:val="center"/>
          </w:tcPr>
          <w:p>
            <w:pPr>
              <w:jc w:val="left"/>
            </w:pPr>
            <w:r/>
            <w:r>
              <w:rPr>
                <w:sz w:val="21"/>
              </w:rPr>
              <w:t>a day other than Saturday, Sunday or a public holiday in {{JURISDICTION_CITY}}.</w:t>
            </w:r>
          </w:p>
        </w:tc>
      </w:tr>
      <w:tr>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“Encumbrance”</w:t>
            </w:r>
          </w:p>
        </w:tc>
        <w:tc>
          <w:tcPr>
            <w:tcW w:type="dxa" w:w="680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any mortgage, charge, lien, pledge, hypothecation, security interest, option or other encumbrance.</w:t>
            </w:r>
          </w:p>
        </w:tc>
      </w:tr>
      <w:tr>
        <w:tc>
          <w:tcPr>
            <w:tcW w:type="dxa" w:w="2551"/>
            <w:tcBorders>
              <w:top w:val="single" w:sz="4" w:color="808080"/>
              <w:left w:val="single" w:sz="4" w:color="808080"/>
              <w:bottom w:val="single" w:sz="4" w:color="808080"/>
              <w:right w:val="single" w:sz="4" w:color="808080"/>
            </w:tcBorders>
            <w:vAlign w:val="center"/>
          </w:tcPr>
          <w:p>
            <w:pPr>
              <w:jc w:val="left"/>
            </w:pPr>
            <w:r/>
            <w:r>
              <w:rPr>
                <w:b/>
                <w:sz w:val="21"/>
              </w:rPr>
              <w:t>“Offer Notice”</w:t>
            </w:r>
          </w:p>
        </w:tc>
        <w:tc>
          <w:tcPr>
            <w:tcW w:type="dxa" w:w="6803"/>
            <w:tcBorders>
              <w:top w:val="single" w:sz="4" w:color="808080"/>
              <w:left w:val="single" w:sz="4" w:color="808080"/>
              <w:bottom w:val="single" w:sz="4" w:color="808080"/>
              <w:right w:val="single" w:sz="4" w:color="808080"/>
            </w:tcBorders>
            <w:vAlign w:val="center"/>
          </w:tcPr>
          <w:p>
            <w:pPr>
              <w:jc w:val="left"/>
            </w:pPr>
            <w:r/>
            <w:r>
              <w:rPr>
                <w:sz w:val="21"/>
              </w:rPr>
              <w:t>as defined in Clause 3.1.</w:t>
            </w:r>
          </w:p>
        </w:tc>
      </w:tr>
      <w:tr>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“ROFO Price”</w:t>
            </w:r>
          </w:p>
        </w:tc>
        <w:tc>
          <w:tcPr>
            <w:tcW w:type="dxa" w:w="680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the price per Security stated in the Offer Notice.</w:t>
            </w:r>
          </w:p>
        </w:tc>
      </w:tr>
      <w:tr>
        <w:tc>
          <w:tcPr>
            <w:tcW w:type="dxa" w:w="2551"/>
            <w:tcBorders>
              <w:top w:val="single" w:sz="4" w:color="808080"/>
              <w:left w:val="single" w:sz="4" w:color="808080"/>
              <w:bottom w:val="single" w:sz="4" w:color="808080"/>
              <w:right w:val="single" w:sz="4" w:color="808080"/>
            </w:tcBorders>
            <w:vAlign w:val="center"/>
          </w:tcPr>
          <w:p>
            <w:pPr>
              <w:jc w:val="left"/>
            </w:pPr>
            <w:r/>
            <w:r>
              <w:rPr>
                <w:b/>
                <w:sz w:val="21"/>
              </w:rPr>
              <w:t>“ROFO Securities”</w:t>
            </w:r>
          </w:p>
        </w:tc>
        <w:tc>
          <w:tcPr>
            <w:tcW w:type="dxa" w:w="6803"/>
            <w:tcBorders>
              <w:top w:val="single" w:sz="4" w:color="808080"/>
              <w:left w:val="single" w:sz="4" w:color="808080"/>
              <w:bottom w:val="single" w:sz="4" w:color="808080"/>
              <w:right w:val="single" w:sz="4" w:color="808080"/>
            </w:tcBorders>
            <w:vAlign w:val="center"/>
          </w:tcPr>
          <w:p>
            <w:pPr>
              <w:jc w:val="left"/>
            </w:pPr>
            <w:r/>
            <w:r>
              <w:rPr>
                <w:sz w:val="21"/>
              </w:rPr>
              <w:t>the Restricted Securities proposed to be Transferred under an Offer Notice.</w:t>
            </w:r>
          </w:p>
        </w:tc>
      </w:tr>
      <w:tr>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“Selling Seller”</w:t>
            </w:r>
          </w:p>
        </w:tc>
        <w:tc>
          <w:tcPr>
            <w:tcW w:type="dxa" w:w="680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a Restricted Seller proposing to Transfer Restricted Securities.</w:t>
            </w:r>
          </w:p>
        </w:tc>
      </w:tr>
      <w:tr>
        <w:tc>
          <w:tcPr>
            <w:tcW w:type="dxa" w:w="2551"/>
            <w:tcBorders>
              <w:top w:val="single" w:sz="4" w:color="808080"/>
              <w:left w:val="single" w:sz="4" w:color="808080"/>
              <w:bottom w:val="single" w:sz="4" w:color="808080"/>
              <w:right w:val="single" w:sz="4" w:color="808080"/>
            </w:tcBorders>
            <w:vAlign w:val="center"/>
          </w:tcPr>
          <w:p>
            <w:pPr>
              <w:jc w:val="left"/>
            </w:pPr>
            <w:r/>
            <w:r>
              <w:rPr>
                <w:b/>
                <w:sz w:val="21"/>
              </w:rPr>
              <w:t>“Transfer”</w:t>
            </w:r>
          </w:p>
        </w:tc>
        <w:tc>
          <w:tcPr>
            <w:tcW w:type="dxa" w:w="6803"/>
            <w:tcBorders>
              <w:top w:val="single" w:sz="4" w:color="808080"/>
              <w:left w:val="single" w:sz="4" w:color="808080"/>
              <w:bottom w:val="single" w:sz="4" w:color="808080"/>
              <w:right w:val="single" w:sz="4" w:color="808080"/>
            </w:tcBorders>
            <w:vAlign w:val="center"/>
          </w:tcPr>
          <w:p>
            <w:pPr>
              <w:jc w:val="left"/>
            </w:pPr>
            <w:r/>
            <w:r>
              <w:rPr>
                <w:sz w:val="21"/>
              </w:rPr>
              <w:t>to sell, assign, transfer, gift, pledge, hypothecate or otherwise dispose of.</w:t>
            </w:r>
          </w:p>
        </w:tc>
      </w:tr>
    </w:tbl>
    <w:p/>
    <w:p>
      <w:pPr>
        <w:spacing w:before="240" w:after="80"/>
        <w:pBdr>
          <w:bottom w:val="single" w:sz="6" w:space="1" w:color="002060"/>
        </w:pBdr>
      </w:pPr>
      <w:r>
        <w:rPr>
          <w:b/>
          <w:color w:val="002060"/>
          <w:sz w:val="25"/>
        </w:rPr>
        <w:t>2.  GENERAL TRANSFER RESTRICTION</w:t>
      </w:r>
    </w:p>
    <w:p>
      <w:pPr>
        <w:spacing w:before="80"/>
        <w:jc w:val="both"/>
      </w:pPr>
      <w:r>
        <w:rPr>
          <w:b/>
        </w:rPr>
        <w:t xml:space="preserve">2.1 </w:t>
      </w:r>
      <w:r>
        <w:rPr>
          <w:b/>
        </w:rPr>
        <w:t xml:space="preserve">Restriction. </w:t>
      </w:r>
      <w:r>
        <w:t>Save as expressly permitted under Clause 2.2, no Restricted Seller shall, directly or indirectly, Transfer any Restricted Securities, in whole or in part, otherwise than in accordance with the procedure set out in Clause 3 (Right of First Offer).</w:t>
      </w:r>
    </w:p>
    <w:p>
      <w:pPr>
        <w:spacing w:before="80"/>
        <w:jc w:val="both"/>
      </w:pPr>
      <w:r>
        <w:rPr>
          <w:b/>
        </w:rPr>
        <w:t xml:space="preserve">2.2 </w:t>
      </w:r>
      <w:r>
        <w:rPr>
          <w:b/>
        </w:rPr>
        <w:t xml:space="preserve">Permitted Transfers. </w:t>
      </w:r>
      <w:r>
        <w:t>The following Transfers shall not be subject to the ROFO, provided the transferee executes a Deed of Adherence and is bound by the same restrictions:</w:t>
      </w:r>
    </w:p>
    <w:p>
      <w:pPr>
        <w:spacing w:before="40"/>
        <w:ind w:left="454"/>
        <w:jc w:val="both"/>
      </w:pPr>
      <w:r>
        <w:rPr>
          <w:b/>
        </w:rPr>
        <w:t xml:space="preserve">(a) </w:t>
      </w:r>
      <w:r>
        <w:t>Transfers to immediate family members or trusts solely for their benefit, up to {{PERMITTED_FAMILY_TRANSFER_PCT}}% of the Selling Seller’s holding;</w:t>
      </w:r>
    </w:p>
    <w:p>
      <w:pPr>
        <w:spacing w:before="40"/>
        <w:ind w:left="454"/>
        <w:jc w:val="both"/>
      </w:pPr>
      <w:r>
        <w:rPr>
          <w:b/>
        </w:rPr>
        <w:t xml:space="preserve">(b) </w:t>
      </w:r>
      <w:r>
        <w:t>Transfers in connection with an IPO of the Company;</w:t>
      </w:r>
    </w:p>
    <w:p>
      <w:pPr>
        <w:spacing w:before="40"/>
        <w:ind w:left="454"/>
        <w:jc w:val="both"/>
      </w:pPr>
      <w:r>
        <w:rPr>
          <w:b/>
        </w:rPr>
        <w:t xml:space="preserve">(c) </w:t>
      </w:r>
      <w:r>
        <w:t>Transfers pursuant to a Drag-Along or Tag-Along under the Investor Rights Agreement;</w:t>
      </w:r>
    </w:p>
    <w:p>
      <w:pPr>
        <w:spacing w:before="40"/>
        <w:ind w:left="454"/>
        <w:jc w:val="both"/>
      </w:pPr>
      <w:r>
        <w:rPr>
          <w:b/>
        </w:rPr>
        <w:t xml:space="preserve">(d) </w:t>
      </w:r>
      <w:r>
        <w:t>Transfers with the prior written consent of all the Right Holders.</w:t>
      </w:r>
    </w:p>
    <w:p>
      <w:pPr>
        <w:spacing w:before="240" w:after="80"/>
        <w:pBdr>
          <w:bottom w:val="single" w:sz="6" w:space="1" w:color="002060"/>
        </w:pBdr>
      </w:pPr>
      <w:r>
        <w:rPr>
          <w:b/>
          <w:color w:val="002060"/>
          <w:sz w:val="25"/>
        </w:rPr>
        <w:t>3.  RIGHT OF FIRST OFFER</w:t>
      </w:r>
    </w:p>
    <w:p>
      <w:pPr>
        <w:spacing w:before="80"/>
        <w:jc w:val="both"/>
      </w:pPr>
      <w:r>
        <w:rPr>
          <w:b/>
        </w:rPr>
        <w:t xml:space="preserve">3.1 </w:t>
      </w:r>
      <w:r>
        <w:rPr>
          <w:b/>
        </w:rPr>
        <w:t xml:space="preserve">Offer Notice. </w:t>
      </w:r>
      <w:r>
        <w:t>If a Restricted Seller (the “Selling Seller”) intends to Transfer any of his/its Restricted Securities, the Selling Seller shall first serve a written notice on the Right Holders (with a copy to the Company) (the “Offer Notice”) setting out:</w:t>
      </w:r>
    </w:p>
    <w:p>
      <w:pPr>
        <w:spacing w:before="40"/>
        <w:ind w:left="454"/>
        <w:jc w:val="both"/>
      </w:pPr>
      <w:r>
        <w:rPr>
          <w:b/>
        </w:rPr>
        <w:t xml:space="preserve">(a) </w:t>
      </w:r>
      <w:r>
        <w:t>the number and class of Restricted Securities proposed to be Transferred (the “ROFO Securities”);</w:t>
      </w:r>
    </w:p>
    <w:p>
      <w:pPr>
        <w:spacing w:before="40"/>
        <w:ind w:left="454"/>
        <w:jc w:val="both"/>
      </w:pPr>
      <w:r>
        <w:rPr>
          <w:b/>
        </w:rPr>
        <w:t xml:space="preserve">(b) </w:t>
      </w:r>
      <w:r>
        <w:t>the price per Security (in cash) at which the Selling Seller is willing to Transfer (the “ROFO Price”);</w:t>
      </w:r>
    </w:p>
    <w:p>
      <w:pPr>
        <w:spacing w:before="40"/>
        <w:ind w:left="454"/>
        <w:jc w:val="both"/>
      </w:pPr>
      <w:r>
        <w:rPr>
          <w:b/>
        </w:rPr>
        <w:t xml:space="preserve">(c) </w:t>
      </w:r>
      <w:r>
        <w:t>any other material terms (mode of payment, closing date, conditions);</w:t>
      </w:r>
    </w:p>
    <w:p>
      <w:pPr>
        <w:spacing w:before="40"/>
        <w:ind w:left="454"/>
        <w:jc w:val="both"/>
      </w:pPr>
      <w:r>
        <w:rPr>
          <w:b/>
        </w:rPr>
        <w:t xml:space="preserve">(d) </w:t>
      </w:r>
      <w:r>
        <w:t>a certification that the Selling Seller intends in good faith to Transfer the ROFO Securities to a bona-fide third party if the Right Holders do not accept.</w:t>
      </w:r>
    </w:p>
    <w:p>
      <w:pPr>
        <w:spacing w:before="80"/>
        <w:jc w:val="both"/>
      </w:pPr>
      <w:r>
        <w:rPr>
          <w:b/>
        </w:rPr>
        <w:t xml:space="preserve">3.2 </w:t>
      </w:r>
      <w:r>
        <w:rPr>
          <w:b/>
        </w:rPr>
        <w:t xml:space="preserve">Pro-Rata Share. </w:t>
      </w:r>
      <w:r>
        <w:t>Each Right Holder shall be entitled to elect to purchase up to its Pro-Rata Share of the ROFO Securities at the ROFO Price. “Pro-Rata Share” means the proportion that the Securities of such Right Holder bears to the total Securities of all Right Holders, on a fully diluted, as-converted basis.</w:t>
      </w:r>
    </w:p>
    <w:p>
      <w:pPr>
        <w:spacing w:before="80"/>
        <w:jc w:val="both"/>
      </w:pPr>
      <w:r>
        <w:rPr>
          <w:b/>
        </w:rPr>
        <w:t xml:space="preserve">3.3 </w:t>
      </w:r>
      <w:r>
        <w:rPr>
          <w:b/>
        </w:rPr>
        <w:t xml:space="preserve">Over-Subscription. </w:t>
      </w:r>
      <w:r>
        <w:t>A Right Holder may, in its Acceptance Notice, indicate its willingness to subscribe for any unsubscribed Pro-Rata Share of other Right Holders.</w:t>
      </w:r>
    </w:p>
    <w:p>
      <w:pPr>
        <w:spacing w:before="80"/>
        <w:jc w:val="both"/>
      </w:pPr>
      <w:r>
        <w:rPr>
          <w:b/>
        </w:rPr>
        <w:t xml:space="preserve">3.4 </w:t>
      </w:r>
      <w:r>
        <w:rPr>
          <w:b/>
        </w:rPr>
        <w:t xml:space="preserve">Acceptance Notice. </w:t>
      </w:r>
      <w:r>
        <w:t>Within {{ROFO_NEGOTIATION_DAYS}} Business Days from receipt of the Offer Notice (the “Acceptance Period”), each Right Holder shall, by written notice to the Selling Seller (with a copy to the Company), either:</w:t>
      </w:r>
    </w:p>
    <w:p>
      <w:pPr>
        <w:spacing w:before="40"/>
        <w:ind w:left="454"/>
        <w:jc w:val="both"/>
      </w:pPr>
      <w:r>
        <w:rPr>
          <w:b/>
        </w:rPr>
        <w:t xml:space="preserve">3.4.1 </w:t>
      </w:r>
      <w:r>
        <w:t>Accept the offer in respect of all or part of its Pro-Rata Share at the ROFO Price (an “Acceptance Notice”); or</w:t>
      </w:r>
    </w:p>
    <w:p>
      <w:pPr>
        <w:spacing w:before="40"/>
        <w:ind w:left="454"/>
        <w:jc w:val="both"/>
      </w:pPr>
      <w:r>
        <w:rPr>
          <w:b/>
        </w:rPr>
        <w:t xml:space="preserve">3.4.2 </w:t>
      </w:r>
      <w:r>
        <w:t>Decline (or remain silent, which shall be deemed a decline).</w:t>
      </w:r>
    </w:p>
    <w:p>
      <w:pPr>
        <w:spacing w:before="80"/>
        <w:jc w:val="both"/>
      </w:pPr>
      <w:r>
        <w:rPr>
          <w:b/>
        </w:rPr>
        <w:t xml:space="preserve">3.5 </w:t>
      </w:r>
      <w:r>
        <w:rPr>
          <w:b/>
        </w:rPr>
        <w:t xml:space="preserve">Binding Acceptance. </w:t>
      </w:r>
      <w:r>
        <w:t>An Acceptance Notice shall be irrevocable and shall constitute a binding agreement to purchase the corresponding ROFO Securities at the ROFO Price and on the terms in the Offer Notice (save that warranties of the Selling Seller shall be limited to title, capacity, authority and no Encumbrance).</w:t>
      </w:r>
    </w:p>
    <w:p>
      <w:pPr>
        <w:spacing w:before="80"/>
        <w:jc w:val="both"/>
      </w:pPr>
      <w:r>
        <w:rPr>
          <w:b/>
        </w:rPr>
        <w:t xml:space="preserve">3.6 </w:t>
      </w:r>
      <w:r>
        <w:rPr>
          <w:b/>
        </w:rPr>
        <w:t xml:space="preserve">Completion of ROFO Sale. </w:t>
      </w:r>
      <w:r>
        <w:t>Completion of the sale of ROFO Securities to the accepting Right Holders shall occur within {{ROFO_COMPLETION_DAYS}} Business Days from the expiry of the Acceptance Period, against simultaneous delivery of duly stamped Form SH-4, share certificates / DEMAT credit and the Company’s Board approval for the Transfer.</w:t>
      </w:r>
    </w:p>
    <w:p>
      <w:pPr>
        <w:spacing w:before="80"/>
        <w:jc w:val="both"/>
      </w:pPr>
      <w:r>
        <w:rPr>
          <w:b/>
        </w:rPr>
        <w:t xml:space="preserve">3.7 </w:t>
      </w:r>
      <w:r>
        <w:rPr>
          <w:b/>
        </w:rPr>
        <w:t xml:space="preserve">Lapse / Third-Party Sale. </w:t>
      </w:r>
      <w:r>
        <w:t>If the Right Holders do not, in aggregate, accept all the ROFO Securities (after including over-subscriptions), the Selling Seller may, subject to Clause 3.8, complete the sale of (i) all (and not less than all) the ROFO Securities, OR (ii) such Securities not accepted by the Right Holders, to a bona-fide third party, provided that:</w:t>
      </w:r>
    </w:p>
    <w:p>
      <w:pPr>
        <w:spacing w:before="40"/>
        <w:ind w:left="454"/>
        <w:jc w:val="both"/>
      </w:pPr>
      <w:r>
        <w:rPr>
          <w:b/>
        </w:rPr>
        <w:t xml:space="preserve">(a) </w:t>
      </w:r>
      <w:r>
        <w:t>the third-party sale price per Security is NOT LOWER than the ROFO Price (and shall be at least {{ROFO_MIN_PREMIUM_PERCENT}}% higher than the ROFO Price, if a minimum premium is agreed);</w:t>
      </w:r>
    </w:p>
    <w:p>
      <w:pPr>
        <w:spacing w:before="40"/>
        <w:ind w:left="454"/>
        <w:jc w:val="both"/>
      </w:pPr>
      <w:r>
        <w:rPr>
          <w:b/>
        </w:rPr>
        <w:t xml:space="preserve">(b) </w:t>
      </w:r>
      <w:r>
        <w:t>the terms are not more favourable to the third party than those set out in the Offer Notice;</w:t>
      </w:r>
    </w:p>
    <w:p>
      <w:pPr>
        <w:spacing w:before="40"/>
        <w:ind w:left="454"/>
        <w:jc w:val="both"/>
      </w:pPr>
      <w:r>
        <w:rPr>
          <w:b/>
        </w:rPr>
        <w:t xml:space="preserve">(c) </w:t>
      </w:r>
      <w:r>
        <w:t>the sale is completed within {{ROFO_MARKET_WINDOW_DAYS}} days from the expiry of the Acceptance Period;</w:t>
      </w:r>
    </w:p>
    <w:p>
      <w:pPr>
        <w:spacing w:before="40"/>
        <w:ind w:left="454"/>
        <w:jc w:val="both"/>
      </w:pPr>
      <w:r>
        <w:rPr>
          <w:b/>
        </w:rPr>
        <w:t xml:space="preserve">(d) </w:t>
      </w:r>
      <w:r>
        <w:t>the third party executes a Deed of Adherence to this Agreement and any other Transaction Document.</w:t>
      </w:r>
    </w:p>
    <w:p>
      <w:pPr>
        <w:spacing w:before="80"/>
        <w:jc w:val="both"/>
      </w:pPr>
      <w:r>
        <w:rPr>
          <w:b/>
        </w:rPr>
        <w:t xml:space="preserve">3.8 </w:t>
      </w:r>
      <w:r>
        <w:rPr>
          <w:b/>
        </w:rPr>
        <w:t xml:space="preserve">Tag-Along Interplay. </w:t>
      </w:r>
      <w:r>
        <w:t>Where the Right Holders also hold tag-along rights, the tag-along right (if exercised) shall operate in respect of the residual ROFO Securities to be transferred to the third party. The Selling Seller shall procure that the third party purchases such tagged Securities at the same price and on the same terms.</w:t>
      </w:r>
    </w:p>
    <w:p>
      <w:pPr>
        <w:spacing w:before="80"/>
        <w:jc w:val="both"/>
      </w:pPr>
      <w:r>
        <w:rPr>
          <w:b/>
        </w:rPr>
        <w:t xml:space="preserve">3.9 </w:t>
      </w:r>
      <w:r>
        <w:rPr>
          <w:b/>
        </w:rPr>
        <w:t xml:space="preserve">Re-trigger. </w:t>
      </w:r>
      <w:r>
        <w:t>If the Selling Seller does not complete the third-party sale within {{ROFO_MARKET_WINDOW_DAYS}} days, OR if any material term differs from the Offer Notice, the Selling Seller must re-trigger the ROFO procedure by issuing a fresh Offer Notice.</w:t>
      </w:r>
    </w:p>
    <w:p>
      <w:pPr>
        <w:spacing w:before="240" w:after="80"/>
        <w:pBdr>
          <w:bottom w:val="single" w:sz="6" w:space="1" w:color="002060"/>
        </w:pBdr>
      </w:pPr>
      <w:r>
        <w:rPr>
          <w:b/>
          <w:color w:val="002060"/>
          <w:sz w:val="25"/>
        </w:rPr>
        <w:t>4.  PRICING</w:t>
      </w:r>
    </w:p>
    <w:p>
      <w:pPr>
        <w:spacing w:before="80"/>
        <w:jc w:val="both"/>
      </w:pPr>
      <w:r>
        <w:rPr>
          <w:b/>
        </w:rPr>
        <w:t xml:space="preserve">4.1 </w:t>
      </w:r>
      <w:r>
        <w:rPr>
          <w:b/>
        </w:rPr>
        <w:t xml:space="preserve">Fair Market Value Floor. </w:t>
      </w:r>
      <w:r>
        <w:t>In any Transfer involving a non-resident transferor / transferee, the ROFO Price (or the third-party price) shall not be lower than the Fair Market Value determined in accordance with the FEMA NDI Rules, 2019 (DCF method certified by a Chartered Accountant or Merchant Banker).</w:t>
      </w:r>
    </w:p>
    <w:p>
      <w:pPr>
        <w:spacing w:before="80"/>
        <w:jc w:val="both"/>
      </w:pPr>
      <w:r>
        <w:rPr>
          <w:b/>
        </w:rPr>
        <w:t xml:space="preserve">4.2 </w:t>
      </w:r>
      <w:r>
        <w:rPr>
          <w:b/>
        </w:rPr>
        <w:t xml:space="preserve">Non-Cash Consideration. </w:t>
      </w:r>
      <w:r>
        <w:t>ROFO Securities shall be transferable only in exchange for cash consideration. The Right of First Offer is exercisable at the ROFO Price stated in the Offer Notice in cash terms. Any subsequent third-party sale must also be effected wholly in cash.</w:t>
      </w:r>
    </w:p>
    <w:p>
      <w:pPr>
        <w:spacing w:before="80"/>
        <w:jc w:val="both"/>
      </w:pPr>
      <w:r>
        <w:rPr>
          <w:b/>
        </w:rPr>
        <w:t xml:space="preserve">4.3 </w:t>
      </w:r>
      <w:r>
        <w:rPr>
          <w:b/>
        </w:rPr>
        <w:t xml:space="preserve">Tax. </w:t>
      </w:r>
      <w:r>
        <w:t>Capital gains tax shall be borne by the Selling Seller. TDS under Section 195 (non-resident) shall be deducted as required.</w:t>
      </w:r>
    </w:p>
    <w:p>
      <w:pPr>
        <w:spacing w:before="240" w:after="80"/>
        <w:pBdr>
          <w:bottom w:val="single" w:sz="6" w:space="1" w:color="002060"/>
        </w:pBdr>
      </w:pPr>
      <w:r>
        <w:rPr>
          <w:b/>
          <w:color w:val="002060"/>
          <w:sz w:val="25"/>
        </w:rPr>
        <w:t>5.  COMPLIANCE</w:t>
      </w:r>
    </w:p>
    <w:p>
      <w:pPr>
        <w:spacing w:before="80"/>
        <w:jc w:val="both"/>
      </w:pPr>
      <w:r>
        <w:rPr>
          <w:b/>
        </w:rPr>
        <w:t xml:space="preserve">5.1 </w:t>
      </w:r>
      <w:r>
        <w:rPr>
          <w:b/>
        </w:rPr>
        <w:t xml:space="preserve">Articles &amp; Filings. </w:t>
      </w:r>
      <w:r>
        <w:t>All Transfers under this Agreement shall be reflected in the Articles, Register of Members and statutory filings (MGT-7 / MGT-7A) as required by the Act.</w:t>
      </w:r>
    </w:p>
    <w:p>
      <w:pPr>
        <w:spacing w:before="80"/>
        <w:jc w:val="both"/>
      </w:pPr>
      <w:r>
        <w:rPr>
          <w:b/>
        </w:rPr>
        <w:t xml:space="preserve">5.2 </w:t>
      </w:r>
      <w:r>
        <w:rPr>
          <w:b/>
        </w:rPr>
        <w:t xml:space="preserve">FEMA. </w:t>
      </w:r>
      <w:r>
        <w:t>Transfers involving non-residents shall comply with the FEMA NDI Rules, 2019 — Form FC-TRS via FIRMS portal within 60 days; pricing floor; sectoral cap; Press Note 3 (2020) approval where applicable.</w:t>
      </w:r>
    </w:p>
    <w:p>
      <w:pPr>
        <w:spacing w:before="80"/>
        <w:jc w:val="both"/>
      </w:pPr>
      <w:r>
        <w:rPr>
          <w:b/>
        </w:rPr>
        <w:t xml:space="preserve">5.3 </w:t>
      </w:r>
      <w:r>
        <w:rPr>
          <w:b/>
        </w:rPr>
        <w:t xml:space="preserve">Stamp Duty. </w:t>
      </w:r>
      <w:r>
        <w:t>Stamp duty on Transfer at 0.015% under Article 62 of the Indian Stamp Act, 1899 (or applicable State Stamp Act), to be borne as per State practice.</w:t>
      </w:r>
    </w:p>
    <w:p>
      <w:pPr>
        <w:spacing w:before="240" w:after="80"/>
        <w:pBdr>
          <w:bottom w:val="single" w:sz="6" w:space="1" w:color="002060"/>
        </w:pBdr>
      </w:pPr>
      <w:r>
        <w:rPr>
          <w:b/>
          <w:color w:val="002060"/>
          <w:sz w:val="25"/>
        </w:rPr>
        <w:t>6.  REPRESENTATIONS AND WARRANTIES</w:t>
      </w:r>
    </w:p>
    <w:p>
      <w:pPr>
        <w:spacing w:before="80"/>
        <w:jc w:val="both"/>
      </w:pPr>
      <w:r>
        <w:rPr>
          <w:b/>
        </w:rPr>
        <w:t xml:space="preserve">6.1 </w:t>
      </w:r>
      <w:r>
        <w:rPr>
          <w:b/>
        </w:rPr>
        <w:t xml:space="preserve">Selling Seller. </w:t>
      </w:r>
      <w:r>
        <w:t>On execution of a Transfer hereunder, the Selling Seller represents that (a) it has full title to the ROFO Securities free of Encumbrances; (b) it has the capacity and authority to Transfer; and (c) the Transfer does not contravene any agreement to which it is a party.</w:t>
      </w:r>
    </w:p>
    <w:p>
      <w:pPr>
        <w:spacing w:before="80"/>
        <w:jc w:val="both"/>
      </w:pPr>
      <w:r>
        <w:rPr>
          <w:b/>
        </w:rPr>
        <w:t xml:space="preserve">6.2 </w:t>
      </w:r>
      <w:r>
        <w:rPr>
          <w:b/>
        </w:rPr>
        <w:t xml:space="preserve">Purchaser. </w:t>
      </w:r>
      <w:r>
        <w:t>Each accepting Right Holder represents that (a) it has the capacity and authority to purchase; (b) the source of funds is lawful; (c) it shall comply with Applicable Law.</w:t>
      </w:r>
    </w:p>
    <w:p>
      <w:pPr>
        <w:spacing w:before="240" w:after="80"/>
        <w:pBdr>
          <w:bottom w:val="single" w:sz="6" w:space="1" w:color="002060"/>
        </w:pBdr>
      </w:pPr>
      <w:r>
        <w:rPr>
          <w:b/>
          <w:color w:val="002060"/>
          <w:sz w:val="25"/>
        </w:rPr>
        <w:t>7.  TERM AND TERMINATION</w:t>
      </w:r>
    </w:p>
    <w:p>
      <w:pPr>
        <w:spacing w:before="80"/>
        <w:jc w:val="both"/>
      </w:pPr>
      <w:r>
        <w:rPr>
          <w:b/>
        </w:rPr>
        <w:t xml:space="preserve">7.1 </w:t>
      </w:r>
      <w:r>
        <w:rPr>
          <w:b/>
        </w:rPr>
        <w:t xml:space="preserve">Term. </w:t>
      </w:r>
      <w:r>
        <w:t>This Agreement shall be effective from the Effective Date until (a) terminated by unanimous written consent; (b) IPO of the Company; or (c) only the Right Holders or only the Restricted Sellers remain.</w:t>
      </w:r>
    </w:p>
    <w:p>
      <w:pPr>
        <w:spacing w:before="80"/>
        <w:jc w:val="both"/>
      </w:pPr>
      <w:r>
        <w:rPr>
          <w:b/>
        </w:rPr>
        <w:t xml:space="preserve">7.2 </w:t>
      </w:r>
      <w:r>
        <w:rPr>
          <w:b/>
        </w:rPr>
        <w:t xml:space="preserve">Survival of Accrued Rights. </w:t>
      </w:r>
      <w:r>
        <w:t>Termination shall not prejudice accrued rights.</w:t>
      </w:r>
    </w:p>
    <w:p>
      <w:pPr>
        <w:spacing w:before="240" w:after="80"/>
        <w:pBdr>
          <w:bottom w:val="single" w:sz="6" w:space="1" w:color="002060"/>
        </w:pBdr>
      </w:pPr>
      <w:r>
        <w:rPr>
          <w:b/>
          <w:color w:val="002060"/>
          <w:sz w:val="25"/>
        </w:rPr>
        <w:t>8.  GOVERNING LAW AND DISPUTE RESOLUTION</w:t>
      </w:r>
    </w:p>
    <w:p>
      <w:pPr>
        <w:spacing w:before="80"/>
        <w:jc w:val="both"/>
      </w:pPr>
      <w:r>
        <w:rPr>
          <w:b/>
        </w:rPr>
        <w:t xml:space="preserve">8.1 </w:t>
      </w:r>
      <w:r>
        <w:rPr>
          <w:b/>
        </w:rPr>
        <w:t xml:space="preserve">Governing Law. </w:t>
      </w:r>
      <w:r>
        <w:t>Laws of the Republic of India.</w:t>
      </w:r>
    </w:p>
    <w:p>
      <w:pPr>
        <w:spacing w:before="80"/>
        <w:jc w:val="both"/>
      </w:pPr>
      <w:r>
        <w:rPr>
          <w:b/>
        </w:rPr>
        <w:t xml:space="preserve">8.2 </w:t>
      </w:r>
      <w:r>
        <w:rPr>
          <w:b/>
        </w:rPr>
        <w:t xml:space="preserve">Arbitration. </w:t>
      </w:r>
      <w:r>
        <w:t>Any Dispute shall, if not settled by amicable negotiation within {{NEGOTIATION_DAYS}} days, be referred to arbitration under the Arbitration and Conciliation Act, 1996. Tribunal of {{ARBITRATOR_NUMBER}} arbitrator(s) under the {{ARBITRATION_INSTITUTION_RULES}}. Seat and venue: {{ARBITRATION_SEAT_CITY}}; language English.</w:t>
      </w:r>
    </w:p>
    <w:p>
      <w:pPr>
        <w:spacing w:before="80"/>
        <w:jc w:val="both"/>
      </w:pPr>
      <w:r>
        <w:rPr>
          <w:b/>
        </w:rPr>
        <w:t xml:space="preserve">8.3 </w:t>
      </w:r>
      <w:r>
        <w:rPr>
          <w:b/>
        </w:rPr>
        <w:t xml:space="preserve">Jurisdiction. </w:t>
      </w:r>
      <w:r>
        <w:t>Subject to Clause 8.2, courts at {{JURISDICTION_CITY}} shall have exclusive jurisdiction.</w:t>
      </w:r>
    </w:p>
    <w:p>
      <w:pPr>
        <w:spacing w:before="80"/>
        <w:jc w:val="both"/>
      </w:pPr>
      <w:r>
        <w:rPr>
          <w:b/>
        </w:rPr>
        <w:t xml:space="preserve">8.4 </w:t>
      </w:r>
      <w:r>
        <w:rPr>
          <w:b/>
        </w:rPr>
        <w:t xml:space="preserve">Specific Performance. </w:t>
      </w:r>
      <w:r>
        <w:t>Right Holders shall be entitled to specific performance under the Specific Relief Act, 1963, the Securities being unique.</w:t>
      </w:r>
    </w:p>
    <w:p>
      <w:pPr>
        <w:spacing w:before="80"/>
        <w:jc w:val="both"/>
      </w:pPr>
      <w:r>
        <w:rPr>
          <w:b/>
        </w:rPr>
        <w:t xml:space="preserve">8.5 </w:t>
      </w:r>
      <w:r>
        <w:rPr>
          <w:b/>
        </w:rPr>
        <w:t xml:space="preserve">Injunctive Relief. </w:t>
      </w:r>
      <w:r>
        <w:t>Any breach shall entitle non-breaching Parties to injunctive relief in addition to all other remedies.</w:t>
      </w:r>
    </w:p>
    <w:p>
      <w:pPr>
        <w:spacing w:before="240" w:after="80"/>
        <w:pBdr>
          <w:bottom w:val="single" w:sz="6" w:space="1" w:color="002060"/>
        </w:pBdr>
      </w:pPr>
      <w:r>
        <w:rPr>
          <w:b/>
          <w:color w:val="002060"/>
          <w:sz w:val="25"/>
        </w:rPr>
        <w:t>9.  MISCELLANEOUS</w:t>
      </w:r>
    </w:p>
    <w:p>
      <w:pPr>
        <w:spacing w:before="80"/>
        <w:jc w:val="both"/>
      </w:pPr>
      <w:r>
        <w:rPr>
          <w:b/>
        </w:rPr>
        <w:t xml:space="preserve">9.1 </w:t>
      </w:r>
      <w:r>
        <w:rPr>
          <w:b/>
        </w:rPr>
        <w:t xml:space="preserve">Entire Agreement. </w:t>
      </w:r>
      <w:r>
        <w:t>This Agreement, read with the Articles and the Investor Rights Agreement, constitutes the entire understanding on the subject matter.</w:t>
      </w:r>
    </w:p>
    <w:p>
      <w:pPr>
        <w:spacing w:before="80"/>
        <w:jc w:val="both"/>
      </w:pPr>
      <w:r>
        <w:rPr>
          <w:b/>
        </w:rPr>
        <w:t xml:space="preserve">9.2 </w:t>
      </w:r>
      <w:r>
        <w:rPr>
          <w:b/>
        </w:rPr>
        <w:t xml:space="preserve">Amendment. </w:t>
      </w:r>
      <w:r>
        <w:t>In writing signed by all Parties.</w:t>
      </w:r>
    </w:p>
    <w:p>
      <w:pPr>
        <w:spacing w:before="80"/>
        <w:jc w:val="both"/>
      </w:pPr>
      <w:r>
        <w:rPr>
          <w:b/>
        </w:rPr>
        <w:t xml:space="preserve">9.3 </w:t>
      </w:r>
      <w:r>
        <w:rPr>
          <w:b/>
        </w:rPr>
        <w:t xml:space="preserve">Notices. </w:t>
      </w:r>
      <w:r>
        <w:t>As per addresses in Schedule 2.</w:t>
      </w:r>
    </w:p>
    <w:p>
      <w:pPr>
        <w:spacing w:before="80"/>
        <w:jc w:val="both"/>
      </w:pPr>
      <w:r>
        <w:rPr>
          <w:b/>
        </w:rPr>
        <w:t xml:space="preserve">9.4 </w:t>
      </w:r>
      <w:r>
        <w:rPr>
          <w:b/>
        </w:rPr>
        <w:t xml:space="preserve">Counterparts &amp; E-sign. </w:t>
      </w:r>
      <w:r>
        <w:t>May be executed in counterparts (including electronically under the IT Act, 2000).</w:t>
      </w:r>
    </w:p>
    <w:p>
      <w:pPr>
        <w:spacing w:before="80"/>
        <w:jc w:val="both"/>
      </w:pPr>
      <w:r>
        <w:rPr>
          <w:b/>
        </w:rPr>
        <w:t xml:space="preserve">9.5 </w:t>
      </w:r>
      <w:r>
        <w:rPr>
          <w:b/>
        </w:rPr>
        <w:t xml:space="preserve">Stamp Duty. </w:t>
      </w:r>
      <w:r>
        <w:t>Stamp duty payable under the applicable State Stamp Act shall be borne by the Company.</w:t>
      </w:r>
    </w:p>
    <w:p>
      <w:pPr>
        <w:spacing w:before="80"/>
        <w:jc w:val="both"/>
      </w:pPr>
      <w:r>
        <w:rPr>
          <w:b/>
        </w:rPr>
        <w:t xml:space="preserve">9.6 </w:t>
      </w:r>
      <w:r>
        <w:rPr>
          <w:b/>
        </w:rPr>
        <w:t xml:space="preserve">Severability and Waiver. </w:t>
      </w:r>
      <w:r>
        <w:t>Severability and no implied waiver.</w:t>
      </w:r>
    </w:p>
    <w:p>
      <w:r>
        <w:br w:type="page"/>
      </w:r>
    </w:p>
    <w:p>
      <w:pPr>
        <w:spacing w:before="240" w:after="80"/>
        <w:pBdr>
          <w:bottom w:val="single" w:sz="6" w:space="1" w:color="002060"/>
        </w:pBdr>
      </w:pPr>
      <w:r>
        <w:rPr>
          <w:b/>
          <w:color w:val="002060"/>
          <w:sz w:val="25"/>
        </w:rPr>
        <w:t>IN WITNESS WHEREOF</w:t>
      </w:r>
    </w:p>
    <w:p>
      <w:pPr>
        <w:jc w:val="both"/>
      </w:pPr>
      <w:r>
        <w:rPr>
          <w:b/>
          <w:i w:val="0"/>
        </w:rPr>
        <w:t>IN WITNESS WHEREOF, the Parties have executed this Right of First Offer Agreement on the day, month and year first hereinabove written.</w:t>
      </w:r>
    </w:p>
    <w:p/>
    <w:p>
      <w:pPr>
        <w:spacing w:before="360"/>
      </w:pPr>
      <w:r>
        <w:rPr>
          <w:b/>
          <w:sz w:val="22"/>
        </w:rPr>
        <w:t>For and on behalf of THE COMPANY ({{COMPANY_NAME}})</w:t>
      </w:r>
    </w:p>
    <w:p/>
    <w:p>
      <w:r>
        <w:t>_________________________________</w:t>
      </w:r>
    </w:p>
    <w:p>
      <w:r>
        <w:rPr>
          <w:b/>
        </w:rPr>
        <w:t>Name: {{AUTHORISED_SIGNATORY_NAME}}</w:t>
      </w:r>
    </w:p>
    <w:p>
      <w:r>
        <w:t>Designation: {{AUTHORISED_SIGNATORY_DESIGNATION}}</w:t>
      </w:r>
    </w:p>
    <w:p>
      <w:r>
        <w:t>Date: {{SIGNATURE_DATE}}</w:t>
      </w:r>
    </w:p>
    <w:p>
      <w:r>
        <w:t>Place: {{SIGNATURE_PLACE}}</w:t>
      </w:r>
    </w:p>
    <w:p/>
    <w:p>
      <w:r>
        <w:rPr>
          <w:b/>
        </w:rPr>
        <w:t>Witness:</w:t>
      </w:r>
    </w:p>
    <w:p>
      <w:r>
        <w:t>1. Name: {{WITNESS_1_NAME}}    Signature: ____________________</w:t>
      </w:r>
    </w:p>
    <w:p>
      <w:r>
        <w:t xml:space="preserve">   Address: {{WITNESS_1_ADDRESS}}</w:t>
      </w:r>
    </w:p>
    <w:p>
      <w:r>
        <w:t>2. Name: {{WITNESS_2_NAME}}    Signature: ____________________</w:t>
      </w:r>
    </w:p>
    <w:p>
      <w:r>
        <w:t xml:space="preserve">   Address: {{WITNESS_2_ADDRESS}}</w:t>
      </w:r>
    </w:p>
    <w:p>
      <w:r>
        <w:br w:type="page"/>
      </w:r>
    </w:p>
    <w:p>
      <w:pPr>
        <w:spacing w:before="360"/>
      </w:pPr>
      <w:r>
        <w:rPr>
          <w:b/>
          <w:sz w:val="22"/>
        </w:rPr>
        <w:t>For and on behalf of RESTRICTED SELLER 1</w:t>
      </w:r>
    </w:p>
    <w:p/>
    <w:p>
      <w:r>
        <w:t>_________________________________</w:t>
      </w:r>
    </w:p>
    <w:p>
      <w:r>
        <w:rPr>
          <w:b/>
        </w:rPr>
        <w:t>Name: {{RESTRICTED_SELLER_1_NAME}}</w:t>
      </w:r>
    </w:p>
    <w:p>
      <w:r>
        <w:t>Designation: {{RESTRICTED_SELLER_1_DESIGNATION}}</w:t>
      </w:r>
    </w:p>
    <w:p>
      <w:r>
        <w:t>Date: {{SIGNATURE_DATE}}</w:t>
      </w:r>
    </w:p>
    <w:p>
      <w:r>
        <w:t>Place: {{SIGNATURE_PLACE}}</w:t>
      </w:r>
    </w:p>
    <w:p/>
    <w:p>
      <w:r>
        <w:rPr>
          <w:b/>
        </w:rPr>
        <w:t>Witness:</w:t>
      </w:r>
    </w:p>
    <w:p>
      <w:r>
        <w:t>1. Name: {{WITNESS_1_NAME}}    Signature: ____________________</w:t>
      </w:r>
    </w:p>
    <w:p>
      <w:r>
        <w:t xml:space="preserve">   Address: {{WITNESS_1_ADDRESS}}</w:t>
      </w:r>
    </w:p>
    <w:p>
      <w:r>
        <w:t>2. Name: {{WITNESS_2_NAME}}    Signature: ____________________</w:t>
      </w:r>
    </w:p>
    <w:p>
      <w:r>
        <w:t xml:space="preserve">   Address: {{WITNESS_2_ADDRESS}}</w:t>
      </w:r>
    </w:p>
    <w:p>
      <w:r>
        <w:br w:type="page"/>
      </w:r>
    </w:p>
    <w:p>
      <w:pPr>
        <w:spacing w:before="360"/>
      </w:pPr>
      <w:r>
        <w:rPr>
          <w:b/>
          <w:sz w:val="22"/>
        </w:rPr>
        <w:t>For and on behalf of RESTRICTED SELLER 2</w:t>
      </w:r>
    </w:p>
    <w:p/>
    <w:p>
      <w:r>
        <w:t>_________________________________</w:t>
      </w:r>
    </w:p>
    <w:p>
      <w:r>
        <w:rPr>
          <w:b/>
        </w:rPr>
        <w:t>Name: {{RESTRICTED_SELLER_2_NAME}}</w:t>
      </w:r>
    </w:p>
    <w:p>
      <w:r>
        <w:t>Designation: {{RESTRICTED_SELLER_2_DESIGNATION}}</w:t>
      </w:r>
    </w:p>
    <w:p>
      <w:r>
        <w:t>Date: {{SIGNATURE_DATE}}</w:t>
      </w:r>
    </w:p>
    <w:p>
      <w:r>
        <w:t>Place: {{SIGNATURE_PLACE}}</w:t>
      </w:r>
    </w:p>
    <w:p/>
    <w:p>
      <w:r>
        <w:rPr>
          <w:b/>
        </w:rPr>
        <w:t>Witness:</w:t>
      </w:r>
    </w:p>
    <w:p>
      <w:r>
        <w:t>1. Name: {{WITNESS_1_NAME}}    Signature: ____________________</w:t>
      </w:r>
    </w:p>
    <w:p>
      <w:r>
        <w:t xml:space="preserve">   Address: {{WITNESS_1_ADDRESS}}</w:t>
      </w:r>
    </w:p>
    <w:p>
      <w:r>
        <w:t>2. Name: {{WITNESS_2_NAME}}    Signature: ____________________</w:t>
      </w:r>
    </w:p>
    <w:p>
      <w:r>
        <w:t xml:space="preserve">   Address: {{WITNESS_2_ADDRESS}}</w:t>
      </w:r>
    </w:p>
    <w:p>
      <w:r>
        <w:br w:type="page"/>
      </w:r>
    </w:p>
    <w:p>
      <w:pPr>
        <w:spacing w:before="360"/>
      </w:pPr>
      <w:r>
        <w:rPr>
          <w:b/>
          <w:sz w:val="22"/>
        </w:rPr>
        <w:t>For and on behalf of RIGHT HOLDER 1 ({{RIGHT_HOLDER_1_NAME}})</w:t>
      </w:r>
    </w:p>
    <w:p/>
    <w:p>
      <w:r>
        <w:t>_________________________________</w:t>
      </w:r>
    </w:p>
    <w:p>
      <w:r>
        <w:rPr>
          <w:b/>
        </w:rPr>
        <w:t>Name: {{RIGHT_HOLDER_1_SIGNATORY_NAME}}</w:t>
      </w:r>
    </w:p>
    <w:p>
      <w:r>
        <w:t>Designation: {{RIGHT_HOLDER_1_SIGNATORY_DESIGNATION}}</w:t>
      </w:r>
    </w:p>
    <w:p>
      <w:r>
        <w:t>Date: {{SIGNATURE_DATE}}</w:t>
      </w:r>
    </w:p>
    <w:p>
      <w:r>
        <w:t>Place: {{SIGNATURE_PLACE}}</w:t>
      </w:r>
    </w:p>
    <w:p/>
    <w:p>
      <w:r>
        <w:rPr>
          <w:b/>
        </w:rPr>
        <w:t>Witness:</w:t>
      </w:r>
    </w:p>
    <w:p>
      <w:r>
        <w:t>1. Name: {{WITNESS_1_NAME}}    Signature: ____________________</w:t>
      </w:r>
    </w:p>
    <w:p>
      <w:r>
        <w:t xml:space="preserve">   Address: {{WITNESS_1_ADDRESS}}</w:t>
      </w:r>
    </w:p>
    <w:p>
      <w:r>
        <w:t>2. Name: {{WITNESS_2_NAME}}    Signature: ____________________</w:t>
      </w:r>
    </w:p>
    <w:p>
      <w:r>
        <w:t xml:space="preserve">   Address: {{WITNESS_2_ADDRESS}}</w:t>
      </w:r>
    </w:p>
    <w:p>
      <w:r>
        <w:br w:type="page"/>
      </w:r>
    </w:p>
    <w:p>
      <w:pPr>
        <w:spacing w:before="360"/>
      </w:pPr>
      <w:r>
        <w:rPr>
          <w:b/>
          <w:sz w:val="22"/>
        </w:rPr>
        <w:t>For and on behalf of RIGHT HOLDER 2 ({{RIGHT_HOLDER_2_NAME}})</w:t>
      </w:r>
    </w:p>
    <w:p/>
    <w:p>
      <w:r>
        <w:t>_________________________________</w:t>
      </w:r>
    </w:p>
    <w:p>
      <w:r>
        <w:rPr>
          <w:b/>
        </w:rPr>
        <w:t>Name: {{RIGHT_HOLDER_2_SIGNATORY_NAME}}</w:t>
      </w:r>
    </w:p>
    <w:p>
      <w:r>
        <w:t>Designation: {{RIGHT_HOLDER_2_SIGNATORY_DESIGNATION}}</w:t>
      </w:r>
    </w:p>
    <w:p>
      <w:r>
        <w:t>Date: {{SIGNATURE_DATE}}</w:t>
      </w:r>
    </w:p>
    <w:p>
      <w:r>
        <w:t>Place: {{SIGNATURE_PLACE}}</w:t>
      </w:r>
    </w:p>
    <w:p/>
    <w:p>
      <w:r>
        <w:rPr>
          <w:b/>
        </w:rPr>
        <w:t>Witness:</w:t>
      </w:r>
    </w:p>
    <w:p>
      <w:r>
        <w:t>1. Name: {{WITNESS_1_NAME}}    Signature: ____________________</w:t>
      </w:r>
    </w:p>
    <w:p>
      <w:r>
        <w:t xml:space="preserve">   Address: {{WITNESS_1_ADDRESS}}</w:t>
      </w:r>
    </w:p>
    <w:p>
      <w:r>
        <w:t>2. Name: {{WITNESS_2_NAME}}    Signature: ____________________</w:t>
      </w:r>
    </w:p>
    <w:p>
      <w:r>
        <w:t xml:space="preserve">   Address: {{WITNESS_2_ADDRESS}}</w:t>
      </w:r>
    </w:p>
    <w:p>
      <w:r>
        <w:br w:type="page"/>
      </w:r>
    </w:p>
    <w:p>
      <w:pPr>
        <w:spacing w:before="200" w:after="160"/>
        <w:jc w:val="center"/>
      </w:pPr>
      <w:r>
        <w:rPr>
          <w:b/>
          <w:color w:val="002060"/>
          <w:sz w:val="30"/>
        </w:rPr>
        <w:t>SCHEDULES</w:t>
      </w:r>
    </w:p>
    <w:p>
      <w:pPr>
        <w:spacing w:before="240" w:after="80"/>
        <w:pBdr>
          <w:bottom w:val="single" w:sz="6" w:space="1" w:color="002060"/>
        </w:pBdr>
      </w:pPr>
      <w:r>
        <w:rPr>
          <w:b/>
          <w:color w:val="002060"/>
          <w:sz w:val="25"/>
        </w:rPr>
        <w:t>SCHEDULE 1 — SECURITIES HELD AS OF EFFECTIVE DATE</w:t>
      </w:r>
    </w:p>
    <w:tbl>
      <w:tblPr>
        <w:tblW w:type="auto" w:w="0"/>
        <w:jc w:val="center"/>
        <w:tblLayout w:type="fixed"/>
        <w:tblLook w:firstColumn="1" w:firstRow="1" w:lastColumn="0" w:lastRow="0" w:noHBand="0" w:noVBand="1" w:val="04A0"/>
      </w:tblPr>
      <w:tblGrid>
        <w:gridCol w:w="2436"/>
        <w:gridCol w:w="2436"/>
        <w:gridCol w:w="2436"/>
        <w:gridCol w:w="2436"/>
      </w:tblGrid>
      <w:tr>
        <w:tc>
          <w:tcPr>
            <w:tcW w:type="dxa" w:w="2835"/>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Party</w:t>
            </w:r>
          </w:p>
        </w:tc>
        <w:tc>
          <w:tcPr>
            <w:tcW w:type="dxa" w:w="226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Class of Security</w:t>
            </w:r>
          </w:p>
        </w:tc>
        <w:tc>
          <w:tcPr>
            <w:tcW w:type="dxa" w:w="226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No. of Securities</w:t>
            </w:r>
          </w:p>
        </w:tc>
        <w:tc>
          <w:tcPr>
            <w:tcW w:type="dxa" w:w="1984"/>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 (Fully Diluted)</w:t>
            </w:r>
          </w:p>
        </w:tc>
      </w:tr>
      <w:tr>
        <w:tc>
          <w:tcPr>
            <w:tcW w:type="dxa" w:w="2835"/>
            <w:tcBorders>
              <w:top w:val="single" w:sz="4" w:color="808080"/>
              <w:left w:val="single" w:sz="4" w:color="808080"/>
              <w:bottom w:val="single" w:sz="4" w:color="808080"/>
              <w:right w:val="single" w:sz="4" w:color="808080"/>
            </w:tcBorders>
            <w:vAlign w:val="center"/>
          </w:tcPr>
          <w:p>
            <w:pPr>
              <w:jc w:val="left"/>
            </w:pPr>
            <w:r/>
            <w:r>
              <w:rPr>
                <w:b/>
                <w:sz w:val="21"/>
              </w:rPr>
              <w:t>{{RESTRICTED_SELLER_1_NAME}}</w:t>
            </w:r>
          </w:p>
        </w:tc>
        <w:tc>
          <w:tcPr>
            <w:tcW w:type="dxa" w:w="2268"/>
            <w:tcBorders>
              <w:top w:val="single" w:sz="4" w:color="808080"/>
              <w:left w:val="single" w:sz="4" w:color="808080"/>
              <w:bottom w:val="single" w:sz="4" w:color="808080"/>
              <w:right w:val="single" w:sz="4" w:color="808080"/>
            </w:tcBorders>
            <w:vAlign w:val="center"/>
          </w:tcPr>
          <w:p>
            <w:pPr>
              <w:jc w:val="left"/>
            </w:pPr>
            <w:r/>
            <w:r>
              <w:rPr>
                <w:sz w:val="21"/>
              </w:rPr>
              <w:t>{{RS1_SECURITY_CLASS}}</w:t>
            </w:r>
          </w:p>
        </w:tc>
        <w:tc>
          <w:tcPr>
            <w:tcW w:type="dxa" w:w="2268"/>
            <w:tcBorders>
              <w:top w:val="single" w:sz="4" w:color="808080"/>
              <w:left w:val="single" w:sz="4" w:color="808080"/>
              <w:bottom w:val="single" w:sz="4" w:color="808080"/>
              <w:right w:val="single" w:sz="4" w:color="808080"/>
            </w:tcBorders>
            <w:vAlign w:val="center"/>
          </w:tcPr>
          <w:p>
            <w:pPr>
              <w:jc w:val="left"/>
            </w:pPr>
            <w:r/>
            <w:r>
              <w:rPr>
                <w:sz w:val="21"/>
              </w:rPr>
              <w:t>{{RS1_SECURITY_NUMBER}}</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{{RS1_PERCENT}}%</w:t>
            </w:r>
          </w:p>
        </w:tc>
      </w:tr>
      <w:tr>
        <w:tc>
          <w:tcPr>
            <w:tcW w:type="dxa" w:w="283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{{RESTRICTED_SELLER_2_NAME}}</w:t>
            </w:r>
          </w:p>
        </w:tc>
        <w:tc>
          <w:tcPr>
            <w:tcW w:type="dxa" w:w="226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{{RS2_SECURITY_CLASS}}</w:t>
            </w:r>
          </w:p>
        </w:tc>
        <w:tc>
          <w:tcPr>
            <w:tcW w:type="dxa" w:w="226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{{RS2_SECURITY_NUMBER}}</w:t>
            </w:r>
          </w:p>
        </w:tc>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{{RS2_PERCENT}}%</w:t>
            </w:r>
          </w:p>
        </w:tc>
      </w:tr>
      <w:tr>
        <w:tc>
          <w:tcPr>
            <w:tcW w:type="dxa" w:w="2835"/>
            <w:tcBorders>
              <w:top w:val="single" w:sz="4" w:color="808080"/>
              <w:left w:val="single" w:sz="4" w:color="808080"/>
              <w:bottom w:val="single" w:sz="4" w:color="808080"/>
              <w:right w:val="single" w:sz="4" w:color="808080"/>
            </w:tcBorders>
            <w:vAlign w:val="center"/>
          </w:tcPr>
          <w:p>
            <w:pPr>
              <w:jc w:val="left"/>
            </w:pPr>
            <w:r/>
            <w:r>
              <w:rPr>
                <w:b/>
                <w:sz w:val="21"/>
              </w:rPr>
              <w:t>{{RIGHT_HOLDER_1_NAME}}</w:t>
            </w:r>
          </w:p>
        </w:tc>
        <w:tc>
          <w:tcPr>
            <w:tcW w:type="dxa" w:w="2268"/>
            <w:tcBorders>
              <w:top w:val="single" w:sz="4" w:color="808080"/>
              <w:left w:val="single" w:sz="4" w:color="808080"/>
              <w:bottom w:val="single" w:sz="4" w:color="808080"/>
              <w:right w:val="single" w:sz="4" w:color="808080"/>
            </w:tcBorders>
            <w:vAlign w:val="center"/>
          </w:tcPr>
          <w:p>
            <w:pPr>
              <w:jc w:val="left"/>
            </w:pPr>
            <w:r/>
            <w:r>
              <w:rPr>
                <w:sz w:val="21"/>
              </w:rPr>
              <w:t>{{RH1_SECURITY_CLASS}}</w:t>
            </w:r>
          </w:p>
        </w:tc>
        <w:tc>
          <w:tcPr>
            <w:tcW w:type="dxa" w:w="2268"/>
            <w:tcBorders>
              <w:top w:val="single" w:sz="4" w:color="808080"/>
              <w:left w:val="single" w:sz="4" w:color="808080"/>
              <w:bottom w:val="single" w:sz="4" w:color="808080"/>
              <w:right w:val="single" w:sz="4" w:color="808080"/>
            </w:tcBorders>
            <w:vAlign w:val="center"/>
          </w:tcPr>
          <w:p>
            <w:pPr>
              <w:jc w:val="left"/>
            </w:pPr>
            <w:r/>
            <w:r>
              <w:rPr>
                <w:sz w:val="21"/>
              </w:rPr>
              <w:t>{{RH1_SECURITY_NUMBER}}</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{{RH1_PERCENT}}%</w:t>
            </w:r>
          </w:p>
        </w:tc>
      </w:tr>
      <w:tr>
        <w:tc>
          <w:tcPr>
            <w:tcW w:type="dxa" w:w="283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{{RIGHT_HOLDER_2_NAME}}</w:t>
            </w:r>
          </w:p>
        </w:tc>
        <w:tc>
          <w:tcPr>
            <w:tcW w:type="dxa" w:w="226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{{RH2_SECURITY_CLASS}}</w:t>
            </w:r>
          </w:p>
        </w:tc>
        <w:tc>
          <w:tcPr>
            <w:tcW w:type="dxa" w:w="226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{{RH2_SECURITY_NUMBER}}</w:t>
            </w:r>
          </w:p>
        </w:tc>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{{RH2_PERCENT}}%</w:t>
            </w:r>
          </w:p>
        </w:tc>
      </w:tr>
    </w:tbl>
    <w:p/>
    <w:p>
      <w:r>
        <w:br w:type="page"/>
      </w:r>
    </w:p>
    <w:p>
      <w:pPr>
        <w:spacing w:before="240" w:after="80"/>
        <w:pBdr>
          <w:bottom w:val="single" w:sz="6" w:space="1" w:color="002060"/>
        </w:pBdr>
      </w:pPr>
      <w:r>
        <w:rPr>
          <w:b/>
          <w:color w:val="002060"/>
          <w:sz w:val="25"/>
        </w:rPr>
        <w:t>SCHEDULE 2 — NOTICES</w:t>
      </w:r>
    </w:p>
    <w:tbl>
      <w:tblPr>
        <w:tblW w:type="auto" w:w="0"/>
        <w:jc w:val="center"/>
        <w:tblLayout w:type="fixed"/>
        <w:tblLook w:firstColumn="1" w:firstRow="1" w:lastColumn="0" w:lastRow="0" w:noHBand="0" w:noVBand="1" w:val="04A0"/>
      </w:tblPr>
      <w:tblGrid>
        <w:gridCol w:w="2436"/>
        <w:gridCol w:w="2436"/>
        <w:gridCol w:w="2436"/>
        <w:gridCol w:w="2436"/>
      </w:tblGrid>
      <w:tr>
        <w:tc>
          <w:tcPr>
            <w:tcW w:type="dxa" w:w="1984"/>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Party</w:t>
            </w:r>
          </w:p>
        </w:tc>
        <w:tc>
          <w:tcPr>
            <w:tcW w:type="dxa" w:w="311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Address</w:t>
            </w:r>
          </w:p>
        </w:tc>
        <w:tc>
          <w:tcPr>
            <w:tcW w:type="dxa" w:w="226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Email</w:t>
            </w:r>
          </w:p>
        </w:tc>
        <w:tc>
          <w:tcPr>
            <w:tcW w:type="dxa" w:w="1984"/>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Attention</w:t>
            </w:r>
          </w:p>
        </w:tc>
      </w:tr>
      <w:tr>
        <w:tc>
          <w:tcPr>
            <w:tcW w:type="dxa" w:w="1984"/>
            <w:tcBorders>
              <w:top w:val="single" w:sz="4" w:color="808080"/>
              <w:left w:val="single" w:sz="4" w:color="808080"/>
              <w:bottom w:val="single" w:sz="4" w:color="808080"/>
              <w:right w:val="single" w:sz="4" w:color="808080"/>
            </w:tcBorders>
            <w:vAlign w:val="center"/>
          </w:tcPr>
          <w:p>
            <w:pPr>
              <w:jc w:val="left"/>
            </w:pPr>
            <w:r/>
            <w:r>
              <w:rPr>
                <w:b/>
                <w:sz w:val="21"/>
              </w:rPr>
              <w:t>{{COMPANY_NAME}}</w:t>
            </w:r>
          </w:p>
        </w:tc>
        <w:tc>
          <w:tcPr>
            <w:tcW w:type="dxa" w:w="3118"/>
            <w:tcBorders>
              <w:top w:val="single" w:sz="4" w:color="808080"/>
              <w:left w:val="single" w:sz="4" w:color="808080"/>
              <w:bottom w:val="single" w:sz="4" w:color="808080"/>
              <w:right w:val="single" w:sz="4" w:color="808080"/>
            </w:tcBorders>
            <w:vAlign w:val="center"/>
          </w:tcPr>
          <w:p>
            <w:pPr>
              <w:jc w:val="left"/>
            </w:pPr>
            <w:r/>
            <w:r>
              <w:rPr>
                <w:sz w:val="21"/>
              </w:rPr>
              <w:t>{{COMPANY_NOTICE_ADDRESS}}</w:t>
            </w:r>
          </w:p>
        </w:tc>
        <w:tc>
          <w:tcPr>
            <w:tcW w:type="dxa" w:w="2268"/>
            <w:tcBorders>
              <w:top w:val="single" w:sz="4" w:color="808080"/>
              <w:left w:val="single" w:sz="4" w:color="808080"/>
              <w:bottom w:val="single" w:sz="4" w:color="808080"/>
              <w:right w:val="single" w:sz="4" w:color="808080"/>
            </w:tcBorders>
            <w:vAlign w:val="center"/>
          </w:tcPr>
          <w:p>
            <w:pPr>
              <w:jc w:val="left"/>
            </w:pPr>
            <w:r/>
            <w:r>
              <w:rPr>
                <w:sz w:val="21"/>
              </w:rPr>
              <w:t>{{COMPANY_NOTICE_EMAIL}}</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{{COMPANY_NOTICE_ATTENTION}}</w:t>
            </w:r>
          </w:p>
        </w:tc>
      </w:tr>
      <w:tr>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{{RESTRICTED_SELLER_1_NAME}}</w:t>
            </w:r>
          </w:p>
        </w:tc>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{{RS1_NOTICE_ADDRESS}}</w:t>
            </w:r>
          </w:p>
        </w:tc>
        <w:tc>
          <w:tcPr>
            <w:tcW w:type="dxa" w:w="226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{{RS1_EMAIL}}</w:t>
            </w:r>
          </w:p>
        </w:tc>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Self</w:t>
            </w:r>
          </w:p>
        </w:tc>
      </w:tr>
      <w:tr>
        <w:tc>
          <w:tcPr>
            <w:tcW w:type="dxa" w:w="1984"/>
            <w:tcBorders>
              <w:top w:val="single" w:sz="4" w:color="808080"/>
              <w:left w:val="single" w:sz="4" w:color="808080"/>
              <w:bottom w:val="single" w:sz="4" w:color="808080"/>
              <w:right w:val="single" w:sz="4" w:color="808080"/>
            </w:tcBorders>
            <w:vAlign w:val="center"/>
          </w:tcPr>
          <w:p>
            <w:pPr>
              <w:jc w:val="left"/>
            </w:pPr>
            <w:r/>
            <w:r>
              <w:rPr>
                <w:b/>
                <w:sz w:val="21"/>
              </w:rPr>
              <w:t>{{RESTRICTED_SELLER_2_NAME}}</w:t>
            </w:r>
          </w:p>
        </w:tc>
        <w:tc>
          <w:tcPr>
            <w:tcW w:type="dxa" w:w="3118"/>
            <w:tcBorders>
              <w:top w:val="single" w:sz="4" w:color="808080"/>
              <w:left w:val="single" w:sz="4" w:color="808080"/>
              <w:bottom w:val="single" w:sz="4" w:color="808080"/>
              <w:right w:val="single" w:sz="4" w:color="808080"/>
            </w:tcBorders>
            <w:vAlign w:val="center"/>
          </w:tcPr>
          <w:p>
            <w:pPr>
              <w:jc w:val="left"/>
            </w:pPr>
            <w:r/>
            <w:r>
              <w:rPr>
                <w:sz w:val="21"/>
              </w:rPr>
              <w:t>{{RS2_NOTICE_ADDRESS}}</w:t>
            </w:r>
          </w:p>
        </w:tc>
        <w:tc>
          <w:tcPr>
            <w:tcW w:type="dxa" w:w="2268"/>
            <w:tcBorders>
              <w:top w:val="single" w:sz="4" w:color="808080"/>
              <w:left w:val="single" w:sz="4" w:color="808080"/>
              <w:bottom w:val="single" w:sz="4" w:color="808080"/>
              <w:right w:val="single" w:sz="4" w:color="808080"/>
            </w:tcBorders>
            <w:vAlign w:val="center"/>
          </w:tcPr>
          <w:p>
            <w:pPr>
              <w:jc w:val="left"/>
            </w:pPr>
            <w:r/>
            <w:r>
              <w:rPr>
                <w:sz w:val="21"/>
              </w:rPr>
              <w:t>{{RS2_EMAIL}}</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Self</w:t>
            </w:r>
          </w:p>
        </w:tc>
      </w:tr>
      <w:tr>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{{RIGHT_HOLDER_1_NAME}}</w:t>
            </w:r>
          </w:p>
        </w:tc>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{{RH1_NOTICE_ADDRESS}}</w:t>
            </w:r>
          </w:p>
        </w:tc>
        <w:tc>
          <w:tcPr>
            <w:tcW w:type="dxa" w:w="226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{{RH1_NOTICE_EMAIL}}</w:t>
            </w:r>
          </w:p>
        </w:tc>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{{RH1_ATTN}}</w:t>
            </w:r>
          </w:p>
        </w:tc>
      </w:tr>
      <w:tr>
        <w:tc>
          <w:tcPr>
            <w:tcW w:type="dxa" w:w="1984"/>
            <w:tcBorders>
              <w:top w:val="single" w:sz="4" w:color="808080"/>
              <w:left w:val="single" w:sz="4" w:color="808080"/>
              <w:bottom w:val="single" w:sz="4" w:color="808080"/>
              <w:right w:val="single" w:sz="4" w:color="808080"/>
            </w:tcBorders>
            <w:vAlign w:val="center"/>
          </w:tcPr>
          <w:p>
            <w:pPr>
              <w:jc w:val="left"/>
            </w:pPr>
            <w:r/>
            <w:r>
              <w:rPr>
                <w:b/>
                <w:sz w:val="21"/>
              </w:rPr>
              <w:t>{{RIGHT_HOLDER_2_NAME}}</w:t>
            </w:r>
          </w:p>
        </w:tc>
        <w:tc>
          <w:tcPr>
            <w:tcW w:type="dxa" w:w="3118"/>
            <w:tcBorders>
              <w:top w:val="single" w:sz="4" w:color="808080"/>
              <w:left w:val="single" w:sz="4" w:color="808080"/>
              <w:bottom w:val="single" w:sz="4" w:color="808080"/>
              <w:right w:val="single" w:sz="4" w:color="808080"/>
            </w:tcBorders>
            <w:vAlign w:val="center"/>
          </w:tcPr>
          <w:p>
            <w:pPr>
              <w:jc w:val="left"/>
            </w:pPr>
            <w:r/>
            <w:r>
              <w:rPr>
                <w:sz w:val="21"/>
              </w:rPr>
              <w:t>{{RH2_NOTICE_ADDRESS}}</w:t>
            </w:r>
          </w:p>
        </w:tc>
        <w:tc>
          <w:tcPr>
            <w:tcW w:type="dxa" w:w="2268"/>
            <w:tcBorders>
              <w:top w:val="single" w:sz="4" w:color="808080"/>
              <w:left w:val="single" w:sz="4" w:color="808080"/>
              <w:bottom w:val="single" w:sz="4" w:color="808080"/>
              <w:right w:val="single" w:sz="4" w:color="808080"/>
            </w:tcBorders>
            <w:vAlign w:val="center"/>
          </w:tcPr>
          <w:p>
            <w:pPr>
              <w:jc w:val="left"/>
            </w:pPr>
            <w:r/>
            <w:r>
              <w:rPr>
                <w:sz w:val="21"/>
              </w:rPr>
              <w:t>{{RH2_NOTICE_EMAIL}}</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{{RH2_ATTN}}</w:t>
            </w:r>
          </w:p>
        </w:tc>
      </w:tr>
    </w:tbl>
    <w:p/>
    <w:p>
      <w:r>
        <w:br w:type="page"/>
      </w:r>
    </w:p>
    <w:p>
      <w:pPr>
        <w:spacing w:before="240" w:after="80"/>
        <w:pBdr>
          <w:bottom w:val="single" w:sz="6" w:space="1" w:color="002060"/>
        </w:pBdr>
      </w:pPr>
      <w:r>
        <w:rPr>
          <w:b/>
          <w:color w:val="002060"/>
          <w:sz w:val="25"/>
        </w:rPr>
        <w:t>SCHEDULE 3 — FORM OF OFFER NOTICE</w:t>
      </w:r>
    </w:p>
    <w:p>
      <w:pPr>
        <w:jc w:val="both"/>
      </w:pPr>
      <w:r>
        <w:rPr>
          <w:b w:val="0"/>
          <w:i/>
        </w:rPr>
        <w:t>[Date]</w:t>
      </w:r>
    </w:p>
    <w:p>
      <w:pPr>
        <w:jc w:val="both"/>
      </w:pPr>
      <w:r>
        <w:rPr>
          <w:b w:val="0"/>
          <w:i w:val="0"/>
        </w:rPr>
        <w:t>To: The Right Holders (per Schedule 1)</w:t>
      </w:r>
    </w:p>
    <w:p>
      <w:pPr>
        <w:jc w:val="both"/>
      </w:pPr>
      <w:r>
        <w:rPr>
          <w:b w:val="0"/>
          <w:i w:val="0"/>
        </w:rPr>
        <w:t>Cc: {{COMPANY_NAME}}</w:t>
      </w:r>
    </w:p>
    <w:p>
      <w:pPr>
        <w:jc w:val="both"/>
      </w:pPr>
      <w:r>
        <w:rPr>
          <w:b w:val="0"/>
          <w:i w:val="0"/>
        </w:rPr>
        <w:t>Re: Offer Notice under the Right of First Offer Agreement dated {{EFFECTIVE_DATE}}.</w:t>
      </w:r>
    </w:p>
    <w:p>
      <w:pPr>
        <w:jc w:val="both"/>
      </w:pPr>
      <w:r>
        <w:rPr>
          <w:b w:val="0"/>
          <w:i w:val="0"/>
        </w:rPr>
        <w:t>I/We, [Selling Seller], hereby offer to Transfer to the Right Holders, on the terms set out below, the following Restricted Securities:</w:t>
      </w:r>
    </w:p>
    <w:tbl>
      <w:tblPr>
        <w:tblW w:type="auto" w:w="0"/>
        <w:jc w:val="center"/>
        <w:tblLayout w:type="fixed"/>
        <w:tblLook w:firstColumn="1" w:firstRow="1" w:lastColumn="0" w:lastRow="0" w:noHBand="0" w:noVBand="1" w:val="04A0"/>
      </w:tblPr>
      <w:tblGrid>
        <w:gridCol w:w="4873"/>
        <w:gridCol w:w="4873"/>
      </w:tblGrid>
      <w:tr>
        <w:tc>
          <w:tcPr>
            <w:tcW w:type="dxa" w:w="3685"/>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Field</w:t>
            </w:r>
          </w:p>
        </w:tc>
        <w:tc>
          <w:tcPr>
            <w:tcW w:type="dxa" w:w="5669"/>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Particulars</w:t>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Class of Restricted Securities</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w:t>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Number of Restricted Securities</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t>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ROFO Price per Security (₹)</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w:t>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Aggregate Consideration (₹)</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t>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Mode of Payment</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Cash via NEFT / RTGS / IMPS / Wire</w:t>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Proposed Closing Date</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t>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Other Material Terms</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w:t>
            </w:r>
          </w:p>
        </w:tc>
      </w:tr>
    </w:tbl>
    <w:p/>
    <w:p>
      <w:pPr>
        <w:jc w:val="both"/>
      </w:pPr>
      <w:r>
        <w:rPr>
          <w:b w:val="0"/>
          <w:i w:val="0"/>
        </w:rPr>
        <w:t>If the Right Holders do not accept all the Restricted Securities (in aggregate) within {{ROFO_NEGOTIATION_DAYS}} Business Days, I/we propose to Transfer the balance to a third party at a price per Security NOT LOWER than the ROFO Price, subject to the terms of the Agreement.</w:t>
      </w:r>
    </w:p>
    <w:p>
      <w:pPr>
        <w:jc w:val="both"/>
      </w:pPr>
      <w:r>
        <w:rPr>
          <w:b w:val="0"/>
          <w:i w:val="0"/>
        </w:rPr>
        <w:t>Sincerely, [Selling Seller]</w:t>
      </w:r>
    </w:p>
    <w:p>
      <w:r>
        <w:br w:type="page"/>
      </w:r>
    </w:p>
    <w:p>
      <w:pPr>
        <w:spacing w:before="240" w:after="80"/>
        <w:pBdr>
          <w:bottom w:val="single" w:sz="6" w:space="1" w:color="002060"/>
        </w:pBdr>
      </w:pPr>
      <w:r>
        <w:rPr>
          <w:b/>
          <w:color w:val="002060"/>
          <w:sz w:val="25"/>
        </w:rPr>
        <w:t>SCHEDULE 4 — ROFR vs ROFO QUICK COMPARISON (FOR REFERENCE)</w:t>
      </w:r>
    </w:p>
    <w:tbl>
      <w:tblPr>
        <w:tblW w:type="auto" w:w="0"/>
        <w:jc w:val="center"/>
        <w:tblLayout w:type="fixed"/>
        <w:tblLook w:firstColumn="1" w:firstRow="1" w:lastColumn="0" w:lastRow="0" w:noHBand="0" w:noVBand="1" w:val="04A0"/>
      </w:tblPr>
      <w:tblGrid>
        <w:gridCol w:w="3249"/>
        <w:gridCol w:w="3249"/>
        <w:gridCol w:w="3249"/>
      </w:tblGrid>
      <w:tr>
        <w:tc>
          <w:tcPr>
            <w:tcW w:type="dxa" w:w="1984"/>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Feature</w:t>
            </w:r>
          </w:p>
        </w:tc>
        <w:tc>
          <w:tcPr>
            <w:tcW w:type="dxa" w:w="3685"/>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ROFR (Right of First Refusal)</w:t>
            </w:r>
          </w:p>
        </w:tc>
        <w:tc>
          <w:tcPr>
            <w:tcW w:type="dxa" w:w="3685"/>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ROFO (Right of First Offer)</w:t>
            </w:r>
          </w:p>
        </w:tc>
      </w:tr>
      <w:tr>
        <w:tc>
          <w:tcPr>
            <w:tcW w:type="dxa" w:w="1984"/>
            <w:tcBorders>
              <w:top w:val="single" w:sz="4" w:color="808080"/>
              <w:left w:val="single" w:sz="4" w:color="808080"/>
              <w:bottom w:val="single" w:sz="4" w:color="808080"/>
              <w:right w:val="single" w:sz="4" w:color="808080"/>
            </w:tcBorders>
            <w:vAlign w:val="center"/>
          </w:tcPr>
          <w:p>
            <w:pPr>
              <w:jc w:val="left"/>
            </w:pPr>
            <w:r/>
            <w:r>
              <w:rPr>
                <w:b/>
                <w:sz w:val="21"/>
              </w:rPr>
              <w:t>Trigger</w:t>
            </w:r>
          </w:p>
        </w:tc>
        <w:tc>
          <w:tcPr>
            <w:tcW w:type="dxa" w:w="3685"/>
            <w:tcBorders>
              <w:top w:val="single" w:sz="4" w:color="808080"/>
              <w:left w:val="single" w:sz="4" w:color="808080"/>
              <w:bottom w:val="single" w:sz="4" w:color="808080"/>
              <w:right w:val="single" w:sz="4" w:color="808080"/>
            </w:tcBorders>
            <w:vAlign w:val="center"/>
          </w:tcPr>
          <w:p>
            <w:pPr>
              <w:jc w:val="left"/>
            </w:pPr>
            <w:r/>
            <w:r>
              <w:rPr>
                <w:sz w:val="21"/>
              </w:rPr>
              <w:t>Selling Shareholder receives bona-fide third-party offer</w:t>
            </w:r>
          </w:p>
        </w:tc>
        <w:tc>
          <w:tcPr>
            <w:tcW w:type="dxa" w:w="3685"/>
            <w:tcBorders>
              <w:top w:val="single" w:sz="4" w:color="808080"/>
              <w:left w:val="single" w:sz="4" w:color="808080"/>
              <w:bottom w:val="single" w:sz="4" w:color="808080"/>
              <w:right w:val="single" w:sz="4" w:color="808080"/>
            </w:tcBorders>
            <w:vAlign w:val="center"/>
          </w:tcPr>
          <w:p>
            <w:pPr>
              <w:jc w:val="left"/>
            </w:pPr>
            <w:r/>
            <w:r>
              <w:rPr>
                <w:sz w:val="21"/>
              </w:rPr>
              <w:t>Selling Shareholder unilaterally decides to sell</w:t>
            </w:r>
          </w:p>
        </w:tc>
      </w:tr>
      <w:tr>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Price-Setter</w:t>
            </w:r>
          </w:p>
        </w:tc>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Third party sets the price; Right Holders MATCH</w:t>
            </w:r>
          </w:p>
        </w:tc>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Selling Shareholder sets the price; Right Holders ACCEPT or DECLINE</w:t>
            </w:r>
          </w:p>
        </w:tc>
      </w:tr>
      <w:tr>
        <w:tc>
          <w:tcPr>
            <w:tcW w:type="dxa" w:w="1984"/>
            <w:tcBorders>
              <w:top w:val="single" w:sz="4" w:color="808080"/>
              <w:left w:val="single" w:sz="4" w:color="808080"/>
              <w:bottom w:val="single" w:sz="4" w:color="808080"/>
              <w:right w:val="single" w:sz="4" w:color="808080"/>
            </w:tcBorders>
            <w:vAlign w:val="center"/>
          </w:tcPr>
          <w:p>
            <w:pPr>
              <w:jc w:val="left"/>
            </w:pPr>
            <w:r/>
            <w:r>
              <w:rPr>
                <w:b/>
                <w:sz w:val="21"/>
              </w:rPr>
              <w:t>Re-negotiation</w:t>
            </w:r>
          </w:p>
        </w:tc>
        <w:tc>
          <w:tcPr>
            <w:tcW w:type="dxa" w:w="3685"/>
            <w:tcBorders>
              <w:top w:val="single" w:sz="4" w:color="808080"/>
              <w:left w:val="single" w:sz="4" w:color="808080"/>
              <w:bottom w:val="single" w:sz="4" w:color="808080"/>
              <w:right w:val="single" w:sz="4" w:color="808080"/>
            </w:tcBorders>
            <w:vAlign w:val="center"/>
          </w:tcPr>
          <w:p>
            <w:pPr>
              <w:jc w:val="left"/>
            </w:pPr>
            <w:r/>
            <w:r>
              <w:rPr>
                <w:sz w:val="21"/>
              </w:rPr>
              <w:t>Matching only, no negotiation</w:t>
            </w:r>
          </w:p>
        </w:tc>
        <w:tc>
          <w:tcPr>
            <w:tcW w:type="dxa" w:w="3685"/>
            <w:tcBorders>
              <w:top w:val="single" w:sz="4" w:color="808080"/>
              <w:left w:val="single" w:sz="4" w:color="808080"/>
              <w:bottom w:val="single" w:sz="4" w:color="808080"/>
              <w:right w:val="single" w:sz="4" w:color="808080"/>
            </w:tcBorders>
            <w:vAlign w:val="center"/>
          </w:tcPr>
          <w:p>
            <w:pPr>
              <w:jc w:val="left"/>
            </w:pPr>
            <w:r/>
            <w:r>
              <w:rPr>
                <w:sz w:val="21"/>
              </w:rPr>
              <w:t>Free negotiation between Selling Shareholder and Right Holders</w:t>
            </w:r>
          </w:p>
        </w:tc>
      </w:tr>
      <w:tr>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Information Asymmetry</w:t>
            </w:r>
          </w:p>
        </w:tc>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Identity of third party disclosed early</w:t>
            </w:r>
          </w:p>
        </w:tc>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Identity of third party not relevant at first stage</w:t>
            </w:r>
          </w:p>
        </w:tc>
      </w:tr>
      <w:tr>
        <w:tc>
          <w:tcPr>
            <w:tcW w:type="dxa" w:w="1984"/>
            <w:tcBorders>
              <w:top w:val="single" w:sz="4" w:color="808080"/>
              <w:left w:val="single" w:sz="4" w:color="808080"/>
              <w:bottom w:val="single" w:sz="4" w:color="808080"/>
              <w:right w:val="single" w:sz="4" w:color="808080"/>
            </w:tcBorders>
            <w:vAlign w:val="center"/>
          </w:tcPr>
          <w:p>
            <w:pPr>
              <w:jc w:val="left"/>
            </w:pPr>
            <w:r/>
            <w:r>
              <w:rPr>
                <w:b/>
                <w:sz w:val="21"/>
              </w:rPr>
              <w:t>Risk to Right Holder</w:t>
            </w:r>
          </w:p>
        </w:tc>
        <w:tc>
          <w:tcPr>
            <w:tcW w:type="dxa" w:w="3685"/>
            <w:tcBorders>
              <w:top w:val="single" w:sz="4" w:color="808080"/>
              <w:left w:val="single" w:sz="4" w:color="808080"/>
              <w:bottom w:val="single" w:sz="4" w:color="808080"/>
              <w:right w:val="single" w:sz="4" w:color="808080"/>
            </w:tcBorders>
            <w:vAlign w:val="center"/>
          </w:tcPr>
          <w:p>
            <w:pPr>
              <w:jc w:val="left"/>
            </w:pPr>
            <w:r/>
            <w:r>
              <w:rPr>
                <w:sz w:val="21"/>
              </w:rPr>
              <w:t>May lose bargain to third party who outbids</w:t>
            </w:r>
          </w:p>
        </w:tc>
        <w:tc>
          <w:tcPr>
            <w:tcW w:type="dxa" w:w="3685"/>
            <w:tcBorders>
              <w:top w:val="single" w:sz="4" w:color="808080"/>
              <w:left w:val="single" w:sz="4" w:color="808080"/>
              <w:bottom w:val="single" w:sz="4" w:color="808080"/>
              <w:right w:val="single" w:sz="4" w:color="808080"/>
            </w:tcBorders>
            <w:vAlign w:val="center"/>
          </w:tcPr>
          <w:p>
            <w:pPr>
              <w:jc w:val="left"/>
            </w:pPr>
            <w:r/>
            <w:r>
              <w:rPr>
                <w:sz w:val="21"/>
              </w:rPr>
              <w:t>May overpay if Selling Shareholder mis-prices low and over-prices later</w:t>
            </w:r>
          </w:p>
        </w:tc>
      </w:tr>
      <w:tr>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Best For</w:t>
            </w:r>
          </w:p>
        </w:tc>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Mature companies with high outside interest</w:t>
            </w:r>
          </w:p>
        </w:tc>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Earlier-stage companies; Investor-friendly; less friction in deal-making</w:t>
            </w:r>
          </w:p>
        </w:tc>
      </w:tr>
    </w:tbl>
    <w:p/>
    <w:p>
      <w:r>
        <w:br w:type="page"/>
      </w:r>
    </w:p>
    <w:p>
      <w:pPr>
        <w:spacing w:before="240" w:after="80"/>
        <w:pBdr>
          <w:bottom w:val="single" w:sz="6" w:space="1" w:color="002060"/>
        </w:pBdr>
      </w:pPr>
      <w:r>
        <w:rPr>
          <w:b/>
          <w:color w:val="002060"/>
          <w:sz w:val="25"/>
        </w:rPr>
        <w:t>DRAFTING NOTES (REMOVE BEFORE EXECUTION)</w:t>
      </w:r>
    </w:p>
    <w:p>
      <w:pPr>
        <w:pStyle w:val="ListBullet"/>
        <w:spacing w:after="40"/>
        <w:ind w:left="567"/>
        <w:jc w:val="both"/>
      </w:pPr>
      <w:r>
        <w:t>ROFO is enforceable in private companies under Section 58(2) of the Act if reflected in the Articles. Inclusion in Articles makes the restriction effective against transferees and the Company on share registration.</w:t>
      </w:r>
    </w:p>
    <w:p>
      <w:pPr>
        <w:pStyle w:val="ListBullet"/>
        <w:spacing w:after="40"/>
        <w:ind w:left="567"/>
        <w:jc w:val="both"/>
      </w:pPr>
      <w:r>
        <w:t>ROFO is less common than ROFR in Indian VC documentation but is investor-friendly in deals where speed of closing is more critical than price discovery.</w:t>
      </w:r>
    </w:p>
    <w:p>
      <w:pPr>
        <w:pStyle w:val="ListBullet"/>
        <w:spacing w:after="40"/>
        <w:ind w:left="567"/>
        <w:jc w:val="both"/>
      </w:pPr>
      <w:r>
        <w:t>Some sophisticated deals combine ROFO (for shareholders) with ROFR (for the Company) — double-layer protection.</w:t>
      </w:r>
    </w:p>
    <w:p>
      <w:pPr>
        <w:pStyle w:val="ListBullet"/>
        <w:spacing w:after="40"/>
        <w:ind w:left="567"/>
        <w:jc w:val="both"/>
      </w:pPr>
      <w:r>
        <w:t>Pricing for non-resident transfers must comply with the FEMA NDI Rules, 2019 (DCF floor).</w:t>
      </w:r>
    </w:p>
    <w:p>
      <w:pPr>
        <w:pStyle w:val="ListBullet"/>
        <w:spacing w:after="40"/>
        <w:ind w:left="567"/>
        <w:jc w:val="both"/>
      </w:pPr>
      <w:r>
        <w:t>FC-TRS reporting within 60 days via FIRMS portal for cross-border share transfers.</w:t>
      </w:r>
    </w:p>
    <w:p>
      <w:pPr>
        <w:pStyle w:val="ListBullet"/>
        <w:spacing w:after="40"/>
        <w:ind w:left="567"/>
        <w:jc w:val="both"/>
      </w:pPr>
      <w:r>
        <w:t>Stamp duty on Transfer: 0.015% under Article 62 of the Indian Stamp Act, 1899 (uniform post 2020 amendment).</w:t>
      </w:r>
    </w:p>
    <w:p>
      <w:pPr>
        <w:pStyle w:val="ListBullet"/>
        <w:spacing w:after="40"/>
        <w:ind w:left="567"/>
        <w:jc w:val="both"/>
      </w:pPr>
      <w:r>
        <w:t>Capital gains tax in hands of Selling Seller; withholding under Section 195 (NR) where applicable.</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