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RIGHT OF FIRST REFUSAL AGREEMENT</w:t>
      </w:r>
    </w:p>
    <w:p>
      <w:pPr>
        <w:spacing w:before="200" w:after="160"/>
        <w:jc w:val="center"/>
      </w:pPr>
      <w:r>
        <w:rPr>
          <w:b/>
          <w:color w:val="002060"/>
          <w:sz w:val="26"/>
        </w:rPr>
        <w:t>(India — Private Limited Company)</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DOCUMENT SUMMARY</w:t>
      </w:r>
    </w:p>
    <w:tbl>
      <w:tblPr>
        <w:tblW w:type="auto" w:w="0"/>
        <w:jc w:val="center"/>
        <w:tblLayout w:type="fixed"/>
        <w:tblLook w:firstColumn="1" w:firstRow="1" w:lastColumn="0" w:lastRow="0" w:noHBand="0" w:noVBand="1" w:val="04A0"/>
      </w:tblPr>
      <w:tblGrid>
        <w:gridCol w:w="4873"/>
        <w:gridCol w:w="4873"/>
      </w:tblGrid>
      <w:tr>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Company</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{{COMPANY_NAME}} (CIN: {{COMPANY_CIN}})</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Effective Date</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{{EFFECTIVE_DATE}}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Right Holders</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{{RIGHT_HOLDERS_DESCRIPTION}} (e.g., the Investors)</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Restricted Sellers</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{{RESTRICTED_SELLERS_DESCRIPTION}} (e.g., the Founders)</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ROFR Acceptance Period</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{{ROFR_ACCEPTANCE_DAYS}} Business Days</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ROFR Transfer Window</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{{ROFR_TRANSFER_DAYS}} days (post lapse)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Governing Law</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Laws of the Republic of India</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Seat of Arbitration</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{{ARBITRATION_SEAT_CITY}}, India</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{{STAMP_DUTY_AMOUNT}}</w:t>
            </w:r>
          </w:p>
        </w:tc>
      </w:tr>
    </w:tbl>
    <w:p/>
    <w:p>
      <w:pPr>
        <w:spacing w:before="240" w:after="80"/>
        <w:pBdr>
          <w:bottom w:val="single" w:sz="6" w:space="1" w:color="002060"/>
        </w:pBdr>
      </w:pPr>
      <w:r>
        <w:rPr>
          <w:b/>
          <w:color w:val="002060"/>
          <w:sz w:val="25"/>
        </w:rPr>
        <w:t>PARTIES</w:t>
      </w:r>
    </w:p>
    <w:p>
      <w:pPr>
        <w:jc w:val="both"/>
      </w:pPr>
      <w:r>
        <w:rPr>
          <w:b w:val="0"/>
          <w:i w:val="0"/>
        </w:rPr>
        <w:t>This Right of First Refusal Agreement (the “Agreement”) is made BY AND AMONGST:</w:t>
      </w:r>
    </w:p>
    <w:p>
      <w:pPr>
        <w:jc w:val="both"/>
      </w:pPr>
      <w:r>
        <w:rPr>
          <w:b w:val="0"/>
          <w:i w:val="0"/>
        </w:rPr>
        <w:t>1.  {{COMPANY_NAME}}, a company incorporated under the Companies Act, 2013, having CIN {{COMPANY_CIN}}, with its registered office at {{COMPANY_REGISTERED_OFFICE}} (the “Company”);</w:t>
      </w:r>
    </w:p>
    <w:p>
      <w:pPr>
        <w:jc w:val="both"/>
      </w:pPr>
      <w:r>
        <w:rPr>
          <w:b w:val="0"/>
          <w:i w:val="0"/>
        </w:rPr>
        <w:t>2.  {{RESTRICTED_SELLER_1_NAME}}, residing at {{RESTRICTED_SELLER_1_ADDRESS}}, holding PAN {{RESTRICTED_SELLER_1_PAN}} (“Restricted Seller 1”);</w:t>
      </w:r>
    </w:p>
    <w:p>
      <w:pPr>
        <w:jc w:val="both"/>
      </w:pPr>
      <w:r>
        <w:rPr>
          <w:b w:val="0"/>
          <w:i w:val="0"/>
        </w:rPr>
        <w:t>3.  {{RESTRICTED_SELLER_2_NAME}}, residing at {{RESTRICTED_SELLER_2_ADDRESS}}, holding PAN {{RESTRICTED_SELLER_2_PAN}} (“Restricted Seller 2”);</w:t>
      </w:r>
    </w:p>
    <w:p>
      <w:pPr>
        <w:jc w:val="both"/>
      </w:pPr>
      <w:r>
        <w:rPr>
          <w:b w:val="0"/>
          <w:i/>
          <w:sz w:val="18"/>
        </w:rPr>
        <w:t>[Add additional Restricted Sellers as required.]</w:t>
      </w:r>
    </w:p>
    <w:p>
      <w:pPr>
        <w:jc w:val="both"/>
      </w:pPr>
      <w:r>
        <w:rPr>
          <w:b w:val="0"/>
          <w:i w:val="0"/>
        </w:rPr>
        <w:t>4.  {{RIGHT_HOLDER_1_NAME}}, {{RIGHT_HOLDER_1_DESCRIPTION}}, with address at {{RIGHT_HOLDER_1_ADDRESS}} (“Right Holder 1”);</w:t>
      </w:r>
    </w:p>
    <w:p>
      <w:pPr>
        <w:jc w:val="both"/>
      </w:pPr>
      <w:r>
        <w:rPr>
          <w:b w:val="0"/>
          <w:i w:val="0"/>
        </w:rPr>
        <w:t>5.  {{RIGHT_HOLDER_2_NAME}}, {{RIGHT_HOLDER_2_DESCRIPTION}}, with address at {{RIGHT_HOLDER_2_ADDRESS}} (“Right Holder 2”).</w:t>
      </w:r>
    </w:p>
    <w:p>
      <w:pPr>
        <w:jc w:val="both"/>
      </w:pPr>
      <w:r>
        <w:rPr>
          <w:b w:val="0"/>
          <w:i w:val="0"/>
        </w:rPr>
        <w:t>The Restricted Sellers, the Right Holders and the Company are individually a “Party” and collectively the “Parties”.</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Company is a private limited company engaged in the business of {{BUSINESS_DESCRIPTION}}.</w:t>
      </w:r>
    </w:p>
    <w:p>
      <w:pPr>
        <w:spacing w:before="40"/>
        <w:ind w:left="454"/>
        <w:jc w:val="both"/>
      </w:pPr>
      <w:r>
        <w:rPr>
          <w:b/>
        </w:rPr>
        <w:t xml:space="preserve">B. </w:t>
      </w:r>
      <w:r>
        <w:t>As of the Effective Date, the Restricted Sellers hold the Securities of the Company set out in Schedule 1 (the “Restricted Securities”).</w:t>
      </w:r>
    </w:p>
    <w:p>
      <w:pPr>
        <w:spacing w:before="40"/>
        <w:ind w:left="454"/>
        <w:jc w:val="both"/>
      </w:pPr>
      <w:r>
        <w:rPr>
          <w:b/>
        </w:rPr>
        <w:t xml:space="preserve">C. </w:t>
      </w:r>
      <w:r>
        <w:t>The Right Holders hold the Securities of the Company set out in Schedule 1 (the “Right Holder Securities”).</w:t>
      </w:r>
    </w:p>
    <w:p>
      <w:pPr>
        <w:spacing w:before="40"/>
        <w:ind w:left="454"/>
        <w:jc w:val="both"/>
      </w:pPr>
      <w:r>
        <w:rPr>
          <w:b/>
        </w:rPr>
        <w:t xml:space="preserve">D. </w:t>
      </w:r>
      <w:r>
        <w:t>The Parties have agreed that the Restricted Sellers shall not Transfer their Restricted Securities to any third party unless the Right Holders have first been offered the opportunity to purchase such Securities on the terms set out below.</w:t>
      </w:r>
    </w:p>
    <w:p>
      <w:pPr>
        <w:spacing w:before="40"/>
        <w:ind w:left="454"/>
        <w:jc w:val="both"/>
      </w:pPr>
      <w:r>
        <w:rPr>
          <w:b/>
        </w:rPr>
        <w:t xml:space="preserve">E. </w:t>
      </w:r>
      <w:r>
        <w:t>Such restriction is to be reflected in the Articles of Association of the Company and is permissible under Section 58(2) of the Act in respect of a private company.</w:t>
      </w:r>
    </w:p>
    <w:p/>
    <w:p>
      <w:pPr>
        <w:jc w:val="both"/>
      </w:pPr>
      <w:r>
        <w:rPr>
          <w:b/>
          <w:i w:val="0"/>
        </w:rPr>
        <w:t>NOW THEREFORE, the Parties agree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80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Companies Act, 2013, together with rules thereunder.</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“Acceptance Notice”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as defined in Clause 3.4.</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“Business Day”</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 day other than Saturday, Sunday or a public holiday at {{JURISDICTION_CITY}}, on which banks are open for normal business.</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“Encumbrance”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mortgage, charge, lien, pledge, hypothecation, security interest, option or other encumbrance.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“Offer Notice”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as defined in Clause 3.1.</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“Proposed Transferee”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bona fide third-party purchaser identified in the Offer Notice.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“ROFR Securities”</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Restricted Securities (in whole or part) proposed to be Transferred under an Offer Notice.</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“Securities”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equity shares, preference shares, debentures, warrants and any other security issued by the Company.</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“Selling Seller”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 Restricted Seller proposing to Transfer Restricted Securities.</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“Transfer”</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 sell, assign, transfer, gift, pledge, hypothecate, mortgage, charge or otherwise dispose of, or enter into any agreement, arrangement or understanding to do any of the foregoing, in respect of Securities.</w:t>
            </w:r>
          </w:p>
        </w:tc>
      </w:tr>
    </w:tbl>
    <w:p/>
    <w:p>
      <w:pPr>
        <w:spacing w:before="240" w:after="80"/>
        <w:pBdr>
          <w:bottom w:val="single" w:sz="6" w:space="1" w:color="002060"/>
        </w:pBdr>
      </w:pPr>
      <w:r>
        <w:rPr>
          <w:b/>
          <w:color w:val="002060"/>
          <w:sz w:val="25"/>
        </w:rPr>
        <w:t>2.  GENERAL TRANSFER RESTRICTION</w:t>
      </w:r>
    </w:p>
    <w:p>
      <w:pPr>
        <w:spacing w:before="80"/>
        <w:jc w:val="both"/>
      </w:pPr>
      <w:r>
        <w:rPr>
          <w:b/>
        </w:rPr>
        <w:t xml:space="preserve">2.1 </w:t>
      </w:r>
      <w:r>
        <w:rPr>
          <w:b/>
        </w:rPr>
        <w:t xml:space="preserve">Restriction. </w:t>
      </w:r>
      <w:r>
        <w:t>Save as expressly permitted under Clause 2.2 (Permitted Transfers) or as may be consented to in writing by the Right Holders, no Restricted Seller shall, directly or indirectly, Transfer any Restricted Securities, in whole or in part, otherwise than in compliance with the procedure set out in Clause 3 (Right of First Refusal).</w:t>
      </w:r>
    </w:p>
    <w:p>
      <w:pPr>
        <w:spacing w:before="80"/>
        <w:jc w:val="both"/>
      </w:pPr>
      <w:r>
        <w:rPr>
          <w:b/>
        </w:rPr>
        <w:t xml:space="preserve">2.2 </w:t>
      </w:r>
      <w:r>
        <w:rPr>
          <w:b/>
        </w:rPr>
        <w:t xml:space="preserve">Permitted Transfers. </w:t>
      </w:r>
      <w:r>
        <w:t>The following Transfers shall not be subject to the ROFR, provided that the transferee executes a Deed of Adherence to this Agreement and is bound by the same restrictions:</w:t>
      </w:r>
    </w:p>
    <w:p>
      <w:pPr>
        <w:spacing w:before="40"/>
        <w:ind w:left="454"/>
        <w:jc w:val="both"/>
      </w:pPr>
      <w:r>
        <w:rPr>
          <w:b/>
        </w:rPr>
        <w:t xml:space="preserve">(a) </w:t>
      </w:r>
      <w:r>
        <w:t>Transfer by a Restricted Seller to his/her spouse, parents, children or sibling, or a trust solely for the benefit thereof, up to {{PERMITTED_FAMILY_TRANSFER_PCT}}% of such Restricted Seller’s holding;</w:t>
      </w:r>
    </w:p>
    <w:p>
      <w:pPr>
        <w:spacing w:before="40"/>
        <w:ind w:left="454"/>
        <w:jc w:val="both"/>
      </w:pPr>
      <w:r>
        <w:rPr>
          <w:b/>
        </w:rPr>
        <w:t xml:space="preserve">(b) </w:t>
      </w:r>
      <w:r>
        <w:t>Transfer by way of testamentary succession or intestate succession;</w:t>
      </w:r>
    </w:p>
    <w:p>
      <w:pPr>
        <w:spacing w:before="40"/>
        <w:ind w:left="454"/>
        <w:jc w:val="both"/>
      </w:pPr>
      <w:r>
        <w:rPr>
          <w:b/>
        </w:rPr>
        <w:t xml:space="preserve">(c) </w:t>
      </w:r>
      <w:r>
        <w:t>Transfer in connection with an Initial Public Offering of the Company;</w:t>
      </w:r>
    </w:p>
    <w:p>
      <w:pPr>
        <w:spacing w:before="40"/>
        <w:ind w:left="454"/>
        <w:jc w:val="both"/>
      </w:pPr>
      <w:r>
        <w:rPr>
          <w:b/>
        </w:rPr>
        <w:t xml:space="preserve">(d) </w:t>
      </w:r>
      <w:r>
        <w:t>Transfer pursuant to a Drag-Along, Tag-Along or any other exit right exercised under the Investor Rights Agreement / Shareholders’ Agreement to which the Restricted Seller is a party;</w:t>
      </w:r>
    </w:p>
    <w:p>
      <w:pPr>
        <w:spacing w:before="40"/>
        <w:ind w:left="454"/>
        <w:jc w:val="both"/>
      </w:pPr>
      <w:r>
        <w:rPr>
          <w:b/>
        </w:rPr>
        <w:t xml:space="preserve">(e) </w:t>
      </w:r>
      <w:r>
        <w:t>Transfers to which the Right Holders have given express prior written consent.</w:t>
      </w:r>
    </w:p>
    <w:p>
      <w:pPr>
        <w:spacing w:before="80"/>
        <w:jc w:val="both"/>
      </w:pPr>
      <w:r>
        <w:rPr>
          <w:b/>
        </w:rPr>
        <w:t xml:space="preserve">2.3 </w:t>
      </w:r>
      <w:r>
        <w:rPr>
          <w:b/>
        </w:rPr>
        <w:t xml:space="preserve">Compliance. </w:t>
      </w:r>
      <w:r>
        <w:t>All Transfers, including Permitted Transfers, shall comply with the Act, FEMA NDI Rules, 2019 (in case of foreign exchange aspects), the Articles of Association and any applicable lock-in / vesting restrictions.</w:t>
      </w:r>
    </w:p>
    <w:p>
      <w:pPr>
        <w:spacing w:before="240" w:after="80"/>
        <w:pBdr>
          <w:bottom w:val="single" w:sz="6" w:space="1" w:color="002060"/>
        </w:pBdr>
      </w:pPr>
      <w:r>
        <w:rPr>
          <w:b/>
          <w:color w:val="002060"/>
          <w:sz w:val="25"/>
        </w:rPr>
        <w:t>3.  RIGHT OF FIRST REFUSAL</w:t>
      </w:r>
    </w:p>
    <w:p>
      <w:pPr>
        <w:spacing w:before="80"/>
        <w:jc w:val="both"/>
      </w:pPr>
      <w:r>
        <w:rPr>
          <w:b/>
        </w:rPr>
        <w:t xml:space="preserve">3.1 </w:t>
      </w:r>
      <w:r>
        <w:rPr>
          <w:b/>
        </w:rPr>
        <w:t xml:space="preserve">Offer Notice. </w:t>
      </w:r>
      <w:r>
        <w:t>If a Restricted Seller (the “Selling Seller”) receives a bona-fide written offer from an identified third party (the “Proposed Transferee”) to purchase all or part of the Selling Seller’s Restricted Securities and the Selling Seller proposes to accept such offer, the Selling Seller shall first serve a written notice (the “Offer Notice”) on the Right Holders, with a copy to the Company. The Offer Notice shall set out:</w:t>
      </w:r>
    </w:p>
    <w:p>
      <w:pPr>
        <w:spacing w:before="40"/>
        <w:ind w:left="454"/>
        <w:jc w:val="both"/>
      </w:pPr>
      <w:r>
        <w:rPr>
          <w:b/>
        </w:rPr>
        <w:t xml:space="preserve">(a) </w:t>
      </w:r>
      <w:r>
        <w:t>the name, address and ownership particulars of the Proposed Transferee;</w:t>
      </w:r>
    </w:p>
    <w:p>
      <w:pPr>
        <w:spacing w:before="40"/>
        <w:ind w:left="454"/>
        <w:jc w:val="both"/>
      </w:pPr>
      <w:r>
        <w:rPr>
          <w:b/>
        </w:rPr>
        <w:t xml:space="preserve">(b) </w:t>
      </w:r>
      <w:r>
        <w:t>the number and class of Restricted Securities proposed to be Transferred (the “ROFR Securities”);</w:t>
      </w:r>
    </w:p>
    <w:p>
      <w:pPr>
        <w:spacing w:before="40"/>
        <w:ind w:left="454"/>
        <w:jc w:val="both"/>
      </w:pPr>
      <w:r>
        <w:rPr>
          <w:b/>
        </w:rPr>
        <w:t xml:space="preserve">(c) </w:t>
      </w:r>
      <w:r>
        <w:t>the price per Security and the aggregate consideration (in cash and / or other assets) offered by the Proposed Transferee;</w:t>
      </w:r>
    </w:p>
    <w:p>
      <w:pPr>
        <w:spacing w:before="40"/>
        <w:ind w:left="454"/>
        <w:jc w:val="both"/>
      </w:pPr>
      <w:r>
        <w:rPr>
          <w:b/>
        </w:rPr>
        <w:t xml:space="preserve">(d) </w:t>
      </w:r>
      <w:r>
        <w:t>all other material terms and conditions of the proposed Transfer;</w:t>
      </w:r>
    </w:p>
    <w:p>
      <w:pPr>
        <w:spacing w:before="40"/>
        <w:ind w:left="454"/>
        <w:jc w:val="both"/>
      </w:pPr>
      <w:r>
        <w:rPr>
          <w:b/>
        </w:rPr>
        <w:t xml:space="preserve">(e) </w:t>
      </w:r>
      <w:r>
        <w:t>a copy of the binding term sheet or written offer from the Proposed Transferee;</w:t>
      </w:r>
    </w:p>
    <w:p>
      <w:pPr>
        <w:spacing w:before="40"/>
        <w:ind w:left="454"/>
        <w:jc w:val="both"/>
      </w:pPr>
      <w:r>
        <w:rPr>
          <w:b/>
        </w:rPr>
        <w:t xml:space="preserve">(f) </w:t>
      </w:r>
      <w:r>
        <w:t>a certification by the Selling Seller that the offer is bona fide, made by an unaffiliated third party, and that no material terms have been withheld.</w:t>
      </w:r>
    </w:p>
    <w:p>
      <w:pPr>
        <w:spacing w:before="80"/>
        <w:jc w:val="both"/>
      </w:pPr>
      <w:r>
        <w:rPr>
          <w:b/>
        </w:rPr>
        <w:t xml:space="preserve">3.2 </w:t>
      </w:r>
      <w:r>
        <w:rPr>
          <w:b/>
        </w:rPr>
        <w:t xml:space="preserve">Pro-rata Allocation. </w:t>
      </w:r>
      <w:r>
        <w:t>Each Right Holder shall be entitled to purchase up to its Pro-Rata Share of the ROFR Securities. The “Pro-Rata Share” of a Right Holder shall mean the proportion that the Securities held by such Right Holder bear to the aggregate Securities held by all Right Holders, on a fully diluted, as-converted basis.</w:t>
      </w:r>
    </w:p>
    <w:p>
      <w:pPr>
        <w:spacing w:before="80"/>
        <w:jc w:val="both"/>
      </w:pPr>
      <w:r>
        <w:rPr>
          <w:b/>
        </w:rPr>
        <w:t xml:space="preserve">3.3 </w:t>
      </w:r>
      <w:r>
        <w:rPr>
          <w:b/>
        </w:rPr>
        <w:t xml:space="preserve">Over-Subscription. </w:t>
      </w:r>
      <w:r>
        <w:t>If a Right Holder elects not to accept its full Pro-Rata Share, the unaccepted Securities shall be available for over-subscription by the accepting Right Holders, pro-rata to their Securities, as set out in the Acceptance Notice.</w:t>
      </w:r>
    </w:p>
    <w:p>
      <w:pPr>
        <w:spacing w:before="80"/>
        <w:jc w:val="both"/>
      </w:pPr>
      <w:r>
        <w:rPr>
          <w:b/>
        </w:rPr>
        <w:t xml:space="preserve">3.4 </w:t>
      </w:r>
      <w:r>
        <w:rPr>
          <w:b/>
        </w:rPr>
        <w:t xml:space="preserve">Acceptance Notice. </w:t>
      </w:r>
      <w:r>
        <w:t>Within {{ROFR_ACCEPTANCE_DAYS}} Business Days from receipt of the Offer Notice (the “Acceptance Period”), each Right Holder may serve a written notice on the Selling Seller (with a copy to the Company) (the “Acceptance Notice”) accepting the offer in respect of all or part of its Pro-Rata Share, and indicating its willingness to purchase any over-subscription securities pro-rata.</w:t>
      </w:r>
    </w:p>
    <w:p>
      <w:pPr>
        <w:spacing w:before="80"/>
        <w:jc w:val="both"/>
      </w:pPr>
      <w:r>
        <w:rPr>
          <w:b/>
        </w:rPr>
        <w:t xml:space="preserve">3.5 </w:t>
      </w:r>
      <w:r>
        <w:rPr>
          <w:b/>
        </w:rPr>
        <w:t xml:space="preserve">Binding Acceptance. </w:t>
      </w:r>
      <w:r>
        <w:t>The Acceptance Notice shall be irrevocable and shall constitute a binding obligation on the part of the accepting Right Holder to purchase, and on the part of the Selling Seller to sell, the corresponding ROFR Securities at the price and on the terms set out in the Offer Notice (save that all warranties to be given by the Selling Seller shall be limited to title, capacity, authority and no Encumbrance).</w:t>
      </w:r>
    </w:p>
    <w:p>
      <w:pPr>
        <w:spacing w:before="80"/>
        <w:jc w:val="both"/>
      </w:pPr>
      <w:r>
        <w:rPr>
          <w:b/>
        </w:rPr>
        <w:t xml:space="preserve">3.6 </w:t>
      </w:r>
      <w:r>
        <w:rPr>
          <w:b/>
        </w:rPr>
        <w:t xml:space="preserve">Completion of ROFR Sale. </w:t>
      </w:r>
      <w:r>
        <w:t>Completion of the sale of ROFR Securities to the accepting Right Holders shall occur within {{ROFR_COMPLETION_DAYS}} Business Days from the expiry of the Acceptance Period (or such longer period as may be reasonably necessary to obtain regulatory approvals). The Selling Seller shall, at completion:</w:t>
      </w:r>
    </w:p>
    <w:p>
      <w:pPr>
        <w:spacing w:before="40"/>
        <w:ind w:left="454"/>
        <w:jc w:val="both"/>
      </w:pPr>
      <w:r>
        <w:rPr>
          <w:b/>
        </w:rPr>
        <w:t xml:space="preserve">(a) </w:t>
      </w:r>
      <w:r>
        <w:t>execute and deliver duly stamped share transfer forms (Form SH-4) in favour of the accepting Right Holders;</w:t>
      </w:r>
    </w:p>
    <w:p>
      <w:pPr>
        <w:spacing w:before="40"/>
        <w:ind w:left="454"/>
        <w:jc w:val="both"/>
      </w:pPr>
      <w:r>
        <w:rPr>
          <w:b/>
        </w:rPr>
        <w:t xml:space="preserve">(b) </w:t>
      </w:r>
      <w:r>
        <w:t>deliver the relevant share certificates / DEMAT instructions;</w:t>
      </w:r>
    </w:p>
    <w:p>
      <w:pPr>
        <w:spacing w:before="40"/>
        <w:ind w:left="454"/>
        <w:jc w:val="both"/>
      </w:pPr>
      <w:r>
        <w:rPr>
          <w:b/>
        </w:rPr>
        <w:t xml:space="preserve">(c) </w:t>
      </w:r>
      <w:r>
        <w:t>deliver Board resolutions of the Company approving the Transfer; and</w:t>
      </w:r>
    </w:p>
    <w:p>
      <w:pPr>
        <w:spacing w:before="40"/>
        <w:ind w:left="454"/>
        <w:jc w:val="both"/>
      </w:pPr>
      <w:r>
        <w:rPr>
          <w:b/>
        </w:rPr>
        <w:t xml:space="preserve">(d) </w:t>
      </w:r>
      <w:r>
        <w:t>deliver any other documents reasonably required by the accepting Right Holders to effect the Transfer.</w:t>
      </w:r>
    </w:p>
    <w:p>
      <w:pPr>
        <w:jc w:val="both"/>
      </w:pPr>
      <w:r>
        <w:rPr>
          <w:b w:val="0"/>
          <w:i w:val="0"/>
        </w:rPr>
        <w:t>The accepting Right Holders shall, simultaneously, remit the consideration in immediately available funds to the Selling Seller’s designated bank account.</w:t>
      </w:r>
    </w:p>
    <w:p>
      <w:pPr>
        <w:spacing w:before="80"/>
        <w:jc w:val="both"/>
      </w:pPr>
      <w:r>
        <w:rPr>
          <w:b/>
        </w:rPr>
        <w:t xml:space="preserve">3.7 </w:t>
      </w:r>
      <w:r>
        <w:rPr>
          <w:b/>
        </w:rPr>
        <w:t xml:space="preserve">Failure to Exercise / Partial Exercise. </w:t>
      </w:r>
      <w:r>
        <w:t>If, at the end of the Acceptance Period, the Right Holders have not, in aggregate, accepted in respect of all the ROFR Securities (after including over-subscriptions), the Selling Seller may, subject to Clause 3.8, complete the Transfer of all (and not less than all) of the ROFR Securities to the Proposed Transferee, provided that:</w:t>
      </w:r>
    </w:p>
    <w:p>
      <w:pPr>
        <w:spacing w:before="40"/>
        <w:ind w:left="454"/>
        <w:jc w:val="both"/>
      </w:pPr>
      <w:r>
        <w:rPr>
          <w:b/>
        </w:rPr>
        <w:t xml:space="preserve">(a) </w:t>
      </w:r>
      <w:r>
        <w:t>the Transfer is completed within {{ROFR_TRANSFER_DAYS}} days from the end of the Acceptance Period;</w:t>
      </w:r>
    </w:p>
    <w:p>
      <w:pPr>
        <w:spacing w:before="40"/>
        <w:ind w:left="454"/>
        <w:jc w:val="both"/>
      </w:pPr>
      <w:r>
        <w:rPr>
          <w:b/>
        </w:rPr>
        <w:t xml:space="preserve">(b) </w:t>
      </w:r>
      <w:r>
        <w:t>the price per Security is not lower, and the terms are not more favourable to the Proposed Transferee, than those set out in the Offer Notice;</w:t>
      </w:r>
    </w:p>
    <w:p>
      <w:pPr>
        <w:spacing w:before="40"/>
        <w:ind w:left="454"/>
        <w:jc w:val="both"/>
      </w:pPr>
      <w:r>
        <w:rPr>
          <w:b/>
        </w:rPr>
        <w:t xml:space="preserve">(c) </w:t>
      </w:r>
      <w:r>
        <w:t>the Proposed Transferee executes a Deed of Adherence to this Agreement and any other Transaction Document to which the Selling Seller is a party.</w:t>
      </w:r>
    </w:p>
    <w:p>
      <w:pPr>
        <w:spacing w:before="80"/>
        <w:jc w:val="both"/>
      </w:pPr>
      <w:r>
        <w:rPr>
          <w:b/>
        </w:rPr>
        <w:t xml:space="preserve">3.8 </w:t>
      </w:r>
      <w:r>
        <w:rPr>
          <w:b/>
        </w:rPr>
        <w:t xml:space="preserve">Tag-Along Interplay. </w:t>
      </w:r>
      <w:r>
        <w:t>Where the Right Holders also hold tag-along rights under the Investor Rights Agreement / Shareholders’ Agreement, the tag-along right (if exercised) shall operate in respect of any Restricted Securities not purchased by the Right Holders under the ROFR. The Selling Seller shall accommodate the tag-along securities at the same price and on the same terms.</w:t>
      </w:r>
    </w:p>
    <w:p>
      <w:pPr>
        <w:spacing w:before="80"/>
        <w:jc w:val="both"/>
      </w:pPr>
      <w:r>
        <w:rPr>
          <w:b/>
        </w:rPr>
        <w:t xml:space="preserve">3.9 </w:t>
      </w:r>
      <w:r>
        <w:rPr>
          <w:b/>
        </w:rPr>
        <w:t xml:space="preserve">Re-notification. </w:t>
      </w:r>
      <w:r>
        <w:t>Any change in the price, identity of the Proposed Transferee, or other material terms shall require the Selling Seller to deliver a fresh Offer Notice and re-trigger the ROFR procedure.</w:t>
      </w:r>
    </w:p>
    <w:p>
      <w:pPr>
        <w:spacing w:before="80"/>
        <w:jc w:val="both"/>
      </w:pPr>
      <w:r>
        <w:rPr>
          <w:b/>
        </w:rPr>
        <w:t xml:space="preserve">3.10 </w:t>
      </w:r>
      <w:r>
        <w:rPr>
          <w:b/>
        </w:rPr>
        <w:t xml:space="preserve">Failure to Complete. </w:t>
      </w:r>
      <w:r>
        <w:t>If the Transfer to the Proposed Transferee is not completed within the {{ROFR_TRANSFER_DAYS}} day window, the proposed Transfer shall lapse, and any subsequent proposed Transfer shall require a fresh Offer Notice.</w:t>
      </w:r>
    </w:p>
    <w:p>
      <w:pPr>
        <w:spacing w:before="240" w:after="80"/>
        <w:pBdr>
          <w:bottom w:val="single" w:sz="6" w:space="1" w:color="002060"/>
        </w:pBdr>
      </w:pPr>
      <w:r>
        <w:rPr>
          <w:b/>
          <w:color w:val="002060"/>
          <w:sz w:val="25"/>
        </w:rPr>
        <w:t>4.  NON-CASH CONSIDERATION</w:t>
      </w:r>
    </w:p>
    <w:p>
      <w:pPr>
        <w:spacing w:before="80"/>
        <w:jc w:val="both"/>
      </w:pPr>
      <w:r>
        <w:rPr>
          <w:b/>
        </w:rPr>
        <w:t xml:space="preserve">4.1 </w:t>
      </w:r>
      <w:r>
        <w:rPr>
          <w:b/>
        </w:rPr>
        <w:t xml:space="preserve">Valuation. </w:t>
      </w:r>
      <w:r>
        <w:t>Where the Proposed Transferee offers consideration in a form other than cash (in whole or in part), the cash-equivalent value of the non-cash consideration shall be determined for the purposes of the ROFR by a Registered Valuer under Section 247 of the Act, jointly appointed by the Selling Seller and the Right Holders.</w:t>
      </w:r>
    </w:p>
    <w:p>
      <w:pPr>
        <w:spacing w:before="80"/>
        <w:jc w:val="both"/>
      </w:pPr>
      <w:r>
        <w:rPr>
          <w:b/>
        </w:rPr>
        <w:t xml:space="preserve">4.2 </w:t>
      </w:r>
      <w:r>
        <w:rPr>
          <w:b/>
        </w:rPr>
        <w:t xml:space="preserve">Right Holder’s Option. </w:t>
      </w:r>
      <w:r>
        <w:t>The accepting Right Holders may, at their option, match the offer either (a) by delivering the same non-cash consideration; OR (b) by delivering the cash-equivalent value as determined under Clause 4.1.</w:t>
      </w:r>
    </w:p>
    <w:p>
      <w:pPr>
        <w:spacing w:before="80"/>
        <w:jc w:val="both"/>
      </w:pPr>
      <w:r>
        <w:rPr>
          <w:b/>
        </w:rPr>
        <w:t xml:space="preserve">4.3 </w:t>
      </w:r>
      <w:r>
        <w:rPr>
          <w:b/>
        </w:rPr>
        <w:t xml:space="preserve">Costs. </w:t>
      </w:r>
      <w:r>
        <w:t>The Selling Seller and the Right Holders shall share equally the cost of the valuation.</w:t>
      </w:r>
    </w:p>
    <w:p>
      <w:pPr>
        <w:spacing w:before="240" w:after="80"/>
        <w:pBdr>
          <w:bottom w:val="single" w:sz="6" w:space="1" w:color="002060"/>
        </w:pBdr>
      </w:pPr>
      <w:r>
        <w:rPr>
          <w:b/>
          <w:color w:val="002060"/>
          <w:sz w:val="25"/>
        </w:rPr>
        <w:t>5.  ADDITIONAL CONDITIONS</w:t>
      </w:r>
    </w:p>
    <w:p>
      <w:pPr>
        <w:spacing w:before="80"/>
        <w:jc w:val="both"/>
      </w:pPr>
      <w:r>
        <w:rPr>
          <w:b/>
        </w:rPr>
        <w:t xml:space="preserve">5.1 </w:t>
      </w:r>
      <w:r>
        <w:rPr>
          <w:b/>
        </w:rPr>
        <w:t xml:space="preserve">Articles &amp; Cap Table. </w:t>
      </w:r>
      <w:r>
        <w:t>Upon completion of any Transfer under this Agreement, the Company shall promptly update its Register of Members and Articles (if and as required) and effect such filings with the Registrar of Companies as may be required under the Act, including Form MGT-7 and MGT-7A.</w:t>
      </w:r>
    </w:p>
    <w:p>
      <w:pPr>
        <w:spacing w:before="80"/>
        <w:jc w:val="both"/>
      </w:pPr>
      <w:r>
        <w:rPr>
          <w:b/>
        </w:rPr>
        <w:t xml:space="preserve">5.2 </w:t>
      </w:r>
      <w:r>
        <w:rPr>
          <w:b/>
        </w:rPr>
        <w:t xml:space="preserve">Tax. </w:t>
      </w:r>
      <w:r>
        <w:t>The Selling Seller shall be responsible for capital gains tax liability arising on the Transfer. Withholding of tax at source under Section 195 (or 194-IA, where applicable) of the Income-tax Act, 1961 shall be deducted by the transferee where the Selling Seller is a non-resident or as otherwise required by law.</w:t>
      </w:r>
    </w:p>
    <w:p>
      <w:pPr>
        <w:spacing w:before="80"/>
        <w:jc w:val="both"/>
      </w:pPr>
      <w:r>
        <w:rPr>
          <w:b/>
        </w:rPr>
        <w:t xml:space="preserve">5.3 </w:t>
      </w:r>
      <w:r>
        <w:rPr>
          <w:b/>
        </w:rPr>
        <w:t xml:space="preserve">FEMA Compliance. </w:t>
      </w:r>
      <w:r>
        <w:t>Transfers involving non-resident transferors or transferees shall comply with the Foreign Exchange Management (Non-debt Instruments) Rules, 2019, including (a) pricing floor at Fair Market Value; (b) Form FC-TRS within 60 days; (c) reporting via FIRMS portal.</w:t>
      </w:r>
    </w:p>
    <w:p>
      <w:pPr>
        <w:spacing w:before="240" w:after="80"/>
        <w:pBdr>
          <w:bottom w:val="single" w:sz="6" w:space="1" w:color="002060"/>
        </w:pBdr>
      </w:pPr>
      <w:r>
        <w:rPr>
          <w:b/>
          <w:color w:val="002060"/>
          <w:sz w:val="25"/>
        </w:rPr>
        <w:t>6.  REPRESENTATIONS AND WARRANTIES</w:t>
      </w:r>
    </w:p>
    <w:p>
      <w:pPr>
        <w:spacing w:before="80"/>
        <w:jc w:val="both"/>
      </w:pPr>
      <w:r>
        <w:rPr>
          <w:b/>
        </w:rPr>
        <w:t xml:space="preserve">6.1 </w:t>
      </w:r>
      <w:r>
        <w:rPr>
          <w:b/>
        </w:rPr>
        <w:t xml:space="preserve">Selling Seller Warranties. </w:t>
      </w:r>
      <w:r>
        <w:t>On execution of an Acceptance Notice / Transfer hereunder, the Selling Seller represents and warrants that: (a) it has full title to the ROFR Securities; (b) the ROFR Securities are free and clear of all Encumbrances; (c) it has the legal capacity and authority to Transfer the ROFR Securities; (d) the Transfer does not breach any other agreement or order to which it is a party.</w:t>
      </w:r>
    </w:p>
    <w:p>
      <w:pPr>
        <w:spacing w:before="80"/>
        <w:jc w:val="both"/>
      </w:pPr>
      <w:r>
        <w:rPr>
          <w:b/>
        </w:rPr>
        <w:t xml:space="preserve">6.2 </w:t>
      </w:r>
      <w:r>
        <w:rPr>
          <w:b/>
        </w:rPr>
        <w:t xml:space="preserve">Right Holder Warranties. </w:t>
      </w:r>
      <w:r>
        <w:t>Each Right Holder represents that (a) it has the legal capacity and authority; (b) the source of funds is lawful; and (c) it shall comply with all Applicable Law in relation to the purchase.</w:t>
      </w:r>
    </w:p>
    <w:p>
      <w:pPr>
        <w:spacing w:before="240" w:after="80"/>
        <w:pBdr>
          <w:bottom w:val="single" w:sz="6" w:space="1" w:color="002060"/>
        </w:pBdr>
      </w:pPr>
      <w:r>
        <w:rPr>
          <w:b/>
          <w:color w:val="002060"/>
          <w:sz w:val="25"/>
        </w:rPr>
        <w:t>7.  TERM AND TERMINATION</w:t>
      </w:r>
    </w:p>
    <w:p>
      <w:pPr>
        <w:spacing w:before="80"/>
        <w:jc w:val="both"/>
      </w:pPr>
      <w:r>
        <w:rPr>
          <w:b/>
        </w:rPr>
        <w:t xml:space="preserve">7.1 </w:t>
      </w:r>
      <w:r>
        <w:rPr>
          <w:b/>
        </w:rPr>
        <w:t xml:space="preserve">Term. </w:t>
      </w:r>
      <w:r>
        <w:t>This Agreement shall commence on the Effective Date and continue in force until (a) terminated by unanimous written consent; (b) the Company undertakes a Qualified Initial Public Offering; or (c) only the Right Holders or only the Restricted Sellers remain as holders of Securities of the Company.</w:t>
      </w:r>
    </w:p>
    <w:p>
      <w:pPr>
        <w:spacing w:before="80"/>
        <w:jc w:val="both"/>
      </w:pPr>
      <w:r>
        <w:rPr>
          <w:b/>
        </w:rPr>
        <w:t xml:space="preserve">7.2 </w:t>
      </w:r>
      <w:r>
        <w:rPr>
          <w:b/>
        </w:rPr>
        <w:t xml:space="preserve">Survival of Accrued Rights. </w:t>
      </w:r>
      <w:r>
        <w:t>Termination shall not affect any accrued rights, including in respect of a Transfer in progress at the date of termination.</w:t>
      </w:r>
    </w:p>
    <w:p>
      <w:pPr>
        <w:spacing w:before="240" w:after="80"/>
        <w:pBdr>
          <w:bottom w:val="single" w:sz="6" w:space="1" w:color="002060"/>
        </w:pBdr>
      </w:pPr>
      <w:r>
        <w:rPr>
          <w:b/>
          <w:color w:val="002060"/>
          <w:sz w:val="25"/>
        </w:rPr>
        <w:t>8.  GOVERNING LAW AND DISPUTE RESOLUTION</w:t>
      </w:r>
    </w:p>
    <w:p>
      <w:pPr>
        <w:spacing w:before="80"/>
        <w:jc w:val="both"/>
      </w:pPr>
      <w:r>
        <w:rPr>
          <w:b/>
        </w:rPr>
        <w:t xml:space="preserve">8.1 </w:t>
      </w:r>
      <w:r>
        <w:rPr>
          <w:b/>
        </w:rPr>
        <w:t xml:space="preserve">Governing Law. </w:t>
      </w:r>
      <w:r>
        <w:t>This Agreement shall be governed by the laws of India.</w:t>
      </w:r>
    </w:p>
    <w:p>
      <w:pPr>
        <w:spacing w:before="80"/>
        <w:jc w:val="both"/>
      </w:pPr>
      <w:r>
        <w:rPr>
          <w:b/>
        </w:rPr>
        <w:t xml:space="preserve">8.2 </w:t>
      </w:r>
      <w:r>
        <w:rPr>
          <w:b/>
        </w:rPr>
        <w:t xml:space="preserve">Arbitration. </w:t>
      </w:r>
      <w:r>
        <w:t>Disputes shall, if not resolved by amicable negotiation within {{NEGOTIATION_DAYS}} days, be referred to arbitration under the Arbitration and Conciliation Act, 1996, by {{ARBITRATOR_NUMBER}} arbitrator(s) under the {{ARBITRATION_INSTITUTION_RULES}}. Seat and venue: {{ARBITRATION_SEAT_CITY}}, India. Language English.</w:t>
      </w:r>
    </w:p>
    <w:p>
      <w:pPr>
        <w:spacing w:before="80"/>
        <w:jc w:val="both"/>
      </w:pPr>
      <w:r>
        <w:rPr>
          <w:b/>
        </w:rPr>
        <w:t xml:space="preserve">8.3 </w:t>
      </w:r>
      <w:r>
        <w:rPr>
          <w:b/>
        </w:rPr>
        <w:t xml:space="preserve">Jurisdiction. </w:t>
      </w:r>
      <w:r>
        <w:t>Subject to Clause 8.2, the courts at {{JURISDICTION_CITY}} shall have exclusive jurisdiction.</w:t>
      </w:r>
    </w:p>
    <w:p>
      <w:pPr>
        <w:spacing w:before="80"/>
        <w:jc w:val="both"/>
      </w:pPr>
      <w:r>
        <w:rPr>
          <w:b/>
        </w:rPr>
        <w:t xml:space="preserve">8.4 </w:t>
      </w:r>
      <w:r>
        <w:rPr>
          <w:b/>
        </w:rPr>
        <w:t xml:space="preserve">Injunctive Relief. </w:t>
      </w:r>
      <w:r>
        <w:t>The Parties acknowledge that any breach of this Agreement would cause irreparable harm not compensable in damages, and that the non-breaching Parties shall be entitled to injunctive relief in addition to all other remedies.</w:t>
      </w:r>
    </w:p>
    <w:p>
      <w:pPr>
        <w:spacing w:before="240" w:after="80"/>
        <w:pBdr>
          <w:bottom w:val="single" w:sz="6" w:space="1" w:color="002060"/>
        </w:pBdr>
      </w:pPr>
      <w:r>
        <w:rPr>
          <w:b/>
          <w:color w:val="002060"/>
          <w:sz w:val="25"/>
        </w:rPr>
        <w:t>9.  MISCELLANEOUS</w:t>
      </w:r>
    </w:p>
    <w:p>
      <w:pPr>
        <w:spacing w:before="80"/>
        <w:jc w:val="both"/>
      </w:pPr>
      <w:r>
        <w:rPr>
          <w:b/>
        </w:rPr>
        <w:t xml:space="preserve">9.1 </w:t>
      </w:r>
      <w:r>
        <w:rPr>
          <w:b/>
        </w:rPr>
        <w:t xml:space="preserve">Entire Agreement. </w:t>
      </w:r>
      <w:r>
        <w:t>This Agreement, read with the Articles and the Investor Rights Agreement, constitutes the entire understanding on the subject matter.</w:t>
      </w:r>
    </w:p>
    <w:p>
      <w:pPr>
        <w:spacing w:before="80"/>
        <w:jc w:val="both"/>
      </w:pPr>
      <w:r>
        <w:rPr>
          <w:b/>
        </w:rPr>
        <w:t xml:space="preserve">9.2 </w:t>
      </w:r>
      <w:r>
        <w:rPr>
          <w:b/>
        </w:rPr>
        <w:t xml:space="preserve">Amendment. </w:t>
      </w:r>
      <w:r>
        <w:t>Any amendment shall be in writing and signed by all the Parties.</w:t>
      </w:r>
    </w:p>
    <w:p>
      <w:pPr>
        <w:spacing w:before="80"/>
        <w:jc w:val="both"/>
      </w:pPr>
      <w:r>
        <w:rPr>
          <w:b/>
        </w:rPr>
        <w:t xml:space="preserve">9.3 </w:t>
      </w:r>
      <w:r>
        <w:rPr>
          <w:b/>
        </w:rPr>
        <w:t xml:space="preserve">Notices. </w:t>
      </w:r>
      <w:r>
        <w:t>Notices shall be given in writing to the addresses set out in Schedule 2.</w:t>
      </w:r>
    </w:p>
    <w:p>
      <w:pPr>
        <w:spacing w:before="80"/>
        <w:jc w:val="both"/>
      </w:pPr>
      <w:r>
        <w:rPr>
          <w:b/>
        </w:rPr>
        <w:t xml:space="preserve">9.4 </w:t>
      </w:r>
      <w:r>
        <w:rPr>
          <w:b/>
        </w:rPr>
        <w:t xml:space="preserve">Counterparts &amp; E-sign. </w:t>
      </w:r>
      <w:r>
        <w:t>May be executed in counterparts (including electronically under the IT Act, 2000).</w:t>
      </w:r>
    </w:p>
    <w:p>
      <w:pPr>
        <w:spacing w:before="80"/>
        <w:jc w:val="both"/>
      </w:pPr>
      <w:r>
        <w:rPr>
          <w:b/>
        </w:rPr>
        <w:t xml:space="preserve">9.5 </w:t>
      </w:r>
      <w:r>
        <w:rPr>
          <w:b/>
        </w:rPr>
        <w:t xml:space="preserve">Stamp Duty. </w:t>
      </w:r>
      <w:r>
        <w:t>Stamp duty under the applicable State Stamp Act shall be borne by the Company.</w:t>
      </w:r>
    </w:p>
    <w:p>
      <w:pPr>
        <w:spacing w:before="80"/>
        <w:jc w:val="both"/>
      </w:pPr>
      <w:r>
        <w:rPr>
          <w:b/>
        </w:rPr>
        <w:t xml:space="preserve">9.6 </w:t>
      </w:r>
      <w:r>
        <w:rPr>
          <w:b/>
        </w:rPr>
        <w:t xml:space="preserve">Severability and Waiver. </w:t>
      </w:r>
      <w:r>
        <w:t>Severability and no implied waiver.</w:t>
      </w:r>
    </w:p>
    <w:p>
      <w:pPr>
        <w:spacing w:before="80"/>
        <w:jc w:val="both"/>
      </w:pPr>
      <w:r>
        <w:rPr>
          <w:b/>
        </w:rPr>
        <w:t xml:space="preserve">9.7 </w:t>
      </w:r>
      <w:r>
        <w:rPr>
          <w:b/>
        </w:rPr>
        <w:t xml:space="preserve">Specific Performance. </w:t>
      </w:r>
      <w:r>
        <w:t>Each Party agrees that the Right Holders shall be entitled to specific performance of this Agreement under Sections 10–14 of the Specific Relief Act, 1963, as the Securities are unique and damages would be an inadequate remedy.</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have executed this Right of First Refusal Agreement on the day, month and year first hereinabove written.</w:t>
      </w:r>
    </w:p>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RESTRICTED SELLER 1</w:t>
      </w:r>
    </w:p>
    <w:p/>
    <w:p>
      <w:r>
        <w:t>_________________________________</w:t>
      </w:r>
    </w:p>
    <w:p>
      <w:r>
        <w:rPr>
          <w:b/>
        </w:rPr>
        <w:t>Name: {{RESTRICTED_SELLER_1_NAME}}</w:t>
      </w:r>
    </w:p>
    <w:p>
      <w:r>
        <w:t>Designation: {{RESTRICTED_SELLER_1_DESIGNATION}}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RESTRICTED SELLER 2</w:t>
      </w:r>
    </w:p>
    <w:p/>
    <w:p>
      <w:r>
        <w:t>_________________________________</w:t>
      </w:r>
    </w:p>
    <w:p>
      <w:r>
        <w:rPr>
          <w:b/>
        </w:rPr>
        <w:t>Name: {{RESTRICTED_SELLER_2_NAME}}</w:t>
      </w:r>
    </w:p>
    <w:p>
      <w:r>
        <w:t>Designation: {{RESTRICTED_SELLER_2_DESIGNATION}}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RIGHT HOLDER 1 ({{RIGHT_HOLDER_1_NAME}})</w:t>
      </w:r>
    </w:p>
    <w:p/>
    <w:p>
      <w:r>
        <w:t>_________________________________</w:t>
      </w:r>
    </w:p>
    <w:p>
      <w:r>
        <w:rPr>
          <w:b/>
        </w:rPr>
        <w:t>Name: {{RIGHT_HOLDER_1_SIGNATORY_NAME}}</w:t>
      </w:r>
    </w:p>
    <w:p>
      <w:r>
        <w:t>Designation: {{RIGHT_HOLDER_1_SIGNATORY_DESIGNATION}}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RIGHT HOLDER 2 ({{RIGHT_HOLDER_2_NAME}})</w:t>
      </w:r>
    </w:p>
    <w:p/>
    <w:p>
      <w:r>
        <w:t>_________________________________</w:t>
      </w:r>
    </w:p>
    <w:p>
      <w:r>
        <w:rPr>
          <w:b/>
        </w:rPr>
        <w:t>Name: {{RIGHT_HOLDER_2_SIGNATORY_NAME}}</w:t>
      </w:r>
    </w:p>
    <w:p>
      <w:r>
        <w:t>Designation: {{RIGHT_HOLDER_2_SIGNATORY_DESIGNATION}}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SECURITIES HELD AS OF EFFECTIVE DATE</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Party</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Class of Security</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Securities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(Fully Diluted)</w:t>
            </w:r>
          </w:p>
        </w:tc>
      </w:tr>
      <w:tr>
        <w:tc>
          <w:tcPr>
            <w:tcW w:type="dxa" w:w="2835"/>
            <w:tcBorders>
              <w:top w:val="single" w:sz="4" w:color="808080"/>
              <w:left w:val="single" w:sz="4" w:color="808080"/>
              <w:bottom w:val="single" w:sz="4" w:color="808080"/>
              <w:right w:val="single" w:sz="4" w:color="808080"/>
            </w:tcBorders>
            <w:vAlign w:val="center"/>
          </w:tcPr>
          <w:p>
            <w:pPr>
              <w:jc w:val="left"/>
            </w:pPr>
            <w:r/>
            <w:r>
              <w:rPr>
                <w:b/>
                <w:sz w:val="21"/>
              </w:rPr>
              <w:t>{{RESTRICTED_SELLER_1_NAME}}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{{RS1_SECURITY_CLASS}}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{{RS1_SECURITY_NUMBER}}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{{RS1_PERCENT}}%</w:t>
            </w:r>
          </w:p>
        </w:tc>
      </w:tr>
      <w:tr>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{{RESTRICTED_SELLER_2_NAME}}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{{RS2_SECURITY_CLASS}}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{{RS2_SECURITY_NUMBER}}</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{{RS2_PERCENT}}%</w:t>
            </w:r>
          </w:p>
        </w:tc>
      </w:tr>
      <w:tr>
        <w:tc>
          <w:tcPr>
            <w:tcW w:type="dxa" w:w="2835"/>
            <w:tcBorders>
              <w:top w:val="single" w:sz="4" w:color="808080"/>
              <w:left w:val="single" w:sz="4" w:color="808080"/>
              <w:bottom w:val="single" w:sz="4" w:color="808080"/>
              <w:right w:val="single" w:sz="4" w:color="808080"/>
            </w:tcBorders>
            <w:vAlign w:val="center"/>
          </w:tcPr>
          <w:p>
            <w:pPr>
              <w:jc w:val="left"/>
            </w:pPr>
            <w:r/>
            <w:r>
              <w:rPr>
                <w:b/>
                <w:sz w:val="21"/>
              </w:rPr>
              <w:t>{{RIGHT_HOLDER_1_NAME}}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{{RH1_SECURITY_CLASS}}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{{RH1_SECURITY_NUMBER}}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{{RH1_PERCENT}}%</w:t>
            </w:r>
          </w:p>
        </w:tc>
      </w:tr>
      <w:tr>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{{RIGHT_HOLDER_2_NAME}}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{{RH2_SECURITY_CLASS}}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{{RH2_SECURITY_NUMBER}}</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{{RH2_PERCENT}}%</w:t>
            </w:r>
          </w:p>
        </w:tc>
      </w:tr>
    </w:tbl>
    <w:p/>
    <w:p>
      <w:r>
        <w:br w:type="page"/>
      </w:r>
    </w:p>
    <w:p>
      <w:pPr>
        <w:spacing w:before="240" w:after="80"/>
        <w:pBdr>
          <w:bottom w:val="single" w:sz="6" w:space="1" w:color="002060"/>
        </w:pBdr>
      </w:pPr>
      <w:r>
        <w:rPr>
          <w:b/>
          <w:color w:val="002060"/>
          <w:sz w:val="25"/>
        </w:rPr>
        <w:t>SCHEDULE 2 — NOTICES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Party</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Address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Email</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Attention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{{COMPANY_NAME}}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{{COMPANY_NOTICE_ADDRESS}}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{{COMPANY_NOTICE_EMAIL}}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{{COMPANY_NOTICE_ATTENTION}}</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{{RESTRICTED_SELLER_1_NAME}}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{{RS1_EMAIL}}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{{RESTRICTED_SELLER_2_NAME}}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{{RS2_NOTICE_ADDRESS}}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{{RS2_EMAIL}}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{{RIGHT_HOLDER_1_NAME}}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{{RH1_NOTICE_EMAIL}}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{{RH1_ATTN}}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{{RIGHT_HOLDER_2_NAME}}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{{RH2_NOTICE_ADDRESS}}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{{RH2_NOTICE_EMAIL}}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{{RH2_ATTN}}</w:t>
            </w:r>
          </w:p>
        </w:tc>
      </w:tr>
    </w:tbl>
    <w:p/>
    <w:p>
      <w:r>
        <w:br w:type="page"/>
      </w:r>
    </w:p>
    <w:p>
      <w:pPr>
        <w:spacing w:before="240" w:after="80"/>
        <w:pBdr>
          <w:bottom w:val="single" w:sz="6" w:space="1" w:color="002060"/>
        </w:pBdr>
      </w:pPr>
      <w:r>
        <w:rPr>
          <w:b/>
          <w:color w:val="002060"/>
          <w:sz w:val="25"/>
        </w:rPr>
        <w:t>SCHEDULE 3 — FORM OF OFFER NOTICE</w:t>
      </w:r>
    </w:p>
    <w:p>
      <w:pPr>
        <w:jc w:val="both"/>
      </w:pPr>
      <w:r>
        <w:rPr>
          <w:b w:val="0"/>
          <w:i/>
        </w:rPr>
        <w:t>[Date]</w:t>
      </w:r>
    </w:p>
    <w:p>
      <w:pPr>
        <w:jc w:val="both"/>
      </w:pPr>
      <w:r>
        <w:rPr>
          <w:b w:val="0"/>
          <w:i w:val="0"/>
        </w:rPr>
        <w:t>To: The Right Holders (as listed in Schedule 1 to the ROFR Agreement)</w:t>
      </w:r>
    </w:p>
    <w:p>
      <w:pPr>
        <w:jc w:val="both"/>
      </w:pPr>
      <w:r>
        <w:rPr>
          <w:b w:val="0"/>
          <w:i w:val="0"/>
        </w:rPr>
        <w:t>Cc: {{COMPANY_NAME}}</w:t>
      </w:r>
    </w:p>
    <w:p>
      <w:pPr>
        <w:jc w:val="both"/>
      </w:pPr>
      <w:r>
        <w:rPr>
          <w:b w:val="0"/>
          <w:i w:val="0"/>
        </w:rPr>
        <w:t>Re: Offer Notice under the Right of First Refusal Agreement dated {{EFFECTIVE_DATE}} (the “Agreement”). Capitalised terms used herein but not defined shall have the meaning ascribed to them in the Agreement.</w:t>
      </w:r>
    </w:p>
    <w:p>
      <w:pPr>
        <w:jc w:val="both"/>
      </w:pPr>
      <w:r>
        <w:rPr>
          <w:b w:val="0"/>
          <w:i w:val="0"/>
        </w:rPr>
        <w:t>I/We, [Selling Seller], hereby notify you of the following bona-fide offer to purchase certain of my Restricted Securities, in respect of which the Right of First Refusal under the Agreement is triggered:</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Proposed Transferee (Name, Address, Ownership)</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Class of Restricted Securities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Number of Restricted Securities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Price per Security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Aggregate Consideration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Form of Consideration (Cash / Non-cash)</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Closing Date Proposed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Material Terms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pPr>
        <w:jc w:val="both"/>
      </w:pPr>
      <w:r>
        <w:rPr>
          <w:b w:val="0"/>
          <w:i w:val="0"/>
        </w:rPr>
        <w:t>Attached: copy of the bona-fide written offer / term sheet from the Proposed Transferee.</w:t>
      </w:r>
    </w:p>
    <w:p>
      <w:pPr>
        <w:jc w:val="both"/>
      </w:pPr>
      <w:r>
        <w:rPr>
          <w:b w:val="0"/>
          <w:i w:val="0"/>
        </w:rPr>
        <w:t>Sincerely, [Selling Seller]</w:t>
      </w:r>
    </w:p>
    <w:p>
      <w:r>
        <w:br w:type="page"/>
      </w:r>
    </w:p>
    <w:p>
      <w:pPr>
        <w:spacing w:before="240" w:after="80"/>
        <w:pBdr>
          <w:bottom w:val="single" w:sz="6" w:space="1" w:color="002060"/>
        </w:pBdr>
      </w:pPr>
      <w:r>
        <w:rPr>
          <w:b/>
          <w:color w:val="002060"/>
          <w:sz w:val="25"/>
        </w:rPr>
        <w:t>SCHEDULE 4 — FORM OF ACCEPTANCE NOTICE</w:t>
      </w:r>
    </w:p>
    <w:p>
      <w:pPr>
        <w:jc w:val="both"/>
      </w:pPr>
      <w:r>
        <w:rPr>
          <w:b w:val="0"/>
          <w:i/>
        </w:rPr>
        <w:t>[Date]</w:t>
      </w:r>
    </w:p>
    <w:p>
      <w:pPr>
        <w:jc w:val="both"/>
      </w:pPr>
      <w:r>
        <w:rPr>
          <w:b w:val="0"/>
          <w:i w:val="0"/>
        </w:rPr>
        <w:t>To: [Selling Seller]</w:t>
      </w:r>
    </w:p>
    <w:p>
      <w:pPr>
        <w:jc w:val="both"/>
      </w:pPr>
      <w:r>
        <w:rPr>
          <w:b w:val="0"/>
          <w:i w:val="0"/>
        </w:rPr>
        <w:t>Cc: {{COMPANY_NAME}}, and the other Parties to the Agreement</w:t>
      </w:r>
    </w:p>
    <w:p>
      <w:pPr>
        <w:jc w:val="both"/>
      </w:pPr>
      <w:r>
        <w:rPr>
          <w:b w:val="0"/>
          <w:i w:val="0"/>
        </w:rPr>
        <w:t>Re: Acceptance Notice under the Right of First Refusal Agreement dated {{EFFECTIVE_DATE}} — in respect of your Offer Notice dated [●].</w:t>
      </w:r>
    </w:p>
    <w:p>
      <w:pPr>
        <w:jc w:val="both"/>
      </w:pPr>
      <w:r>
        <w:rPr>
          <w:b w:val="0"/>
          <w:i w:val="0"/>
        </w:rPr>
        <w:t>I/We, [Right Holder], hereby accept the offer set out in your Offer Notice as follows: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Pro-Rata Share entitled</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Number of ROFR Securities accepted</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Willingness to accept over-subscription (Yes /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NEFT / RTGS / IMPS / Wire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Expected completion date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t>
            </w:r>
          </w:p>
        </w:tc>
      </w:tr>
    </w:tbl>
    <w:p/>
    <w:p>
      <w:pPr>
        <w:jc w:val="both"/>
      </w:pPr>
      <w:r>
        <w:rPr>
          <w:b w:val="0"/>
          <w:i w:val="0"/>
        </w:rPr>
        <w:t>Sincerely, [Right Holder]</w:t>
      </w:r>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ROFR is enforceable in private companies under Section 58(2) of the Act, provided it is reflected in the Articles. *Messer Holdings v. Shyam Madanmohan Ruia* — shareholder agreements amongst private company shareholders are binding contractually.</w:t>
      </w:r>
    </w:p>
    <w:p>
      <w:pPr>
        <w:pStyle w:val="ListBullet"/>
        <w:spacing w:after="40"/>
        <w:ind w:left="567"/>
        <w:jc w:val="both"/>
      </w:pPr>
      <w:r>
        <w:t>Pricing for non-resident transferees / transferors must comply with the floor pricing under the FEMA NDI Rules, 2019 (DCF method certified by a Chartered Accountant).</w:t>
      </w:r>
    </w:p>
    <w:p>
      <w:pPr>
        <w:pStyle w:val="ListBullet"/>
        <w:spacing w:after="40"/>
        <w:ind w:left="567"/>
        <w:jc w:val="both"/>
      </w:pPr>
      <w:r>
        <w:t>Form FC-TRS to be filed via FIRMS portal within 60 days of payment / Transfer.</w:t>
      </w:r>
    </w:p>
    <w:p>
      <w:pPr>
        <w:pStyle w:val="ListBullet"/>
        <w:spacing w:after="40"/>
        <w:ind w:left="567"/>
        <w:jc w:val="both"/>
      </w:pPr>
      <w:r>
        <w:t>Tax: capital gains tax in hands of the Selling Seller; possible withholding by transferee under Section 195 (non-residents) or 194-IA (immovable property).</w:t>
      </w:r>
    </w:p>
    <w:p>
      <w:pPr>
        <w:pStyle w:val="ListBullet"/>
        <w:spacing w:after="40"/>
        <w:ind w:left="567"/>
        <w:jc w:val="both"/>
      </w:pPr>
      <w:r>
        <w:t>Stamp duty on share Transfer is 0.015% under Article 62 of the Indian Stamp Act, 1899 (uniform pan-India post-2020 amendment); payable by transferor / transferee per State practice.</w:t>
      </w:r>
    </w:p>
    <w:p>
      <w:pPr>
        <w:pStyle w:val="ListBullet"/>
        <w:spacing w:after="40"/>
        <w:ind w:left="567"/>
        <w:jc w:val="both"/>
      </w:pPr>
      <w:r>
        <w:t>Update Articles of Association so that the restriction binds the Company on subsequent transfers.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