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SHARE SUBSCRIPTION AGREEMENT</w:t>
      </w:r>
    </w:p>
    <w:p>
      <w:pPr>
        <w:spacing w:before="200" w:after="160"/>
        <w:jc w:val="center"/>
      </w:pPr>
      <w:r>
        <w:rPr>
          <w:b/>
          <w:color w:val="002060"/>
          <w:sz w:val="26"/>
        </w:rPr>
        <w:t>(Series {{ROUND_NAME}} Round — India)</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DEAL SUMMARY</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Round / Series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{{ROUND_NAME}}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Lead Investor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{{LEAD_INVESTOR_NAME}}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Round Size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{{ROUND_SIZE_INR}}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Pre-Money Valuation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{{PRE_MONEY_VALUATION_INR}}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Post-Money Valuation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{{POST_MONEY_VALUATION_INR}}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Type of Securities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{{SECURITY_TYPE}} (Equity / CCPS / CCDs)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Issue Price per Security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{{ISSUE_PRICE_INR}}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Face Value per Security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{{FACE_VALUE_INR}}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Premium per Security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{{PREMIUM_PER_SECURITY_INR}}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Total Securities to be Issued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{{TOTAL_SECURITIES}}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Resulting % (Fully Diluted)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{{RESULTING_PERCENT}}%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Closing Date (Target)</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{{CLOSING_DATE}}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Long-Stop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{{LONG_STOP_DATE}}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Seat of Arbitration</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{{ARBITRATION_SEAT_CITY}}, India</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Share Subscription Agreement (the “Agreement”) is made BY AND AMONGST:</w:t>
      </w:r>
    </w:p>
    <w:p>
      <w:pPr>
        <w:jc w:val="both"/>
      </w:pPr>
      <w:r>
        <w:rPr>
          <w:b w:val="0"/>
          <w:i w:val="0"/>
        </w:rPr>
        <w:t>1.  {{COMPANY_NAME}}, a company incorporated under the Companies Act, 2013, having CIN {{COMPANY_CIN}} and registered office at {{COMPANY_REGISTERED_OFFICE}} (the “Company”);</w:t>
      </w:r>
    </w:p>
    <w:p>
      <w:pPr>
        <w:jc w:val="both"/>
      </w:pPr>
      <w:r>
        <w:rPr>
          <w:b w:val="0"/>
          <w:i w:val="0"/>
        </w:rPr>
        <w:t>2.  {{INVESTOR_1_NAME}}, {{INVESTOR_1_DESCRIPTION}}, having its registered office / address at {{INVESTOR_1_ADDRESS}}, holding PAN {{INVESTOR_1_PAN}} (“Investor 1” / “Lead Investor”);</w:t>
      </w:r>
    </w:p>
    <w:p>
      <w:pPr>
        <w:jc w:val="both"/>
      </w:pPr>
      <w:r>
        <w:rPr>
          <w:b w:val="0"/>
          <w:i w:val="0"/>
        </w:rPr>
        <w:t>3.  {{INVESTOR_2_NAME}}, {{INVESTOR_2_DESCRIPTION}}, having its registered office / address at {{INVESTOR_2_ADDRESS}}, holding PAN {{INVESTOR_2_PAN}} (“Investor 2”);</w:t>
      </w:r>
    </w:p>
    <w:p>
      <w:pPr>
        <w:jc w:val="both"/>
      </w:pPr>
      <w:r>
        <w:rPr>
          <w:b w:val="0"/>
          <w:i/>
          <w:sz w:val="18"/>
        </w:rPr>
        <w:t>[Add additional Investors as required. Delete unused blocks.]</w:t>
      </w:r>
    </w:p>
    <w:p>
      <w:pPr>
        <w:jc w:val="both"/>
      </w:pPr>
      <w:r>
        <w:rPr>
          <w:b w:val="0"/>
          <w:i w:val="0"/>
        </w:rPr>
        <w:t>4.  {{FOUNDER_1_NAME}}, son/daughter of {{FOUNDER_1_PARENT_NAME}}, holding PAN {{FOUNDER_1_PAN}}, residing at {{FOUNDER_1_ADDRESS}} (“Founder 1”);</w:t>
      </w:r>
    </w:p>
    <w:p>
      <w:pPr>
        <w:jc w:val="both"/>
      </w:pPr>
      <w:r>
        <w:rPr>
          <w:b w:val="0"/>
          <w:i w:val="0"/>
        </w:rPr>
        <w:t>5.  {{FOUNDER_2_NAME}}, son/daughter of {{FOUNDER_2_PARENT_NAME}}, holding PAN {{FOUNDER_2_PAN}}, residing at {{FOUNDER_2_ADDRESS}} (“Founder 2”).</w:t>
      </w:r>
    </w:p>
    <w:p>
      <w:pPr>
        <w:jc w:val="both"/>
      </w:pPr>
      <w:r>
        <w:rPr>
          <w:b w:val="0"/>
          <w:i w:val="0"/>
        </w:rPr>
        <w:t>The Founders are joining this Agreement as confirming parties and undertake the obligations specifically attributable to them.</w:t>
      </w:r>
    </w:p>
    <w:p>
      <w:pPr>
        <w:jc w:val="both"/>
      </w:pPr>
      <w:r>
        <w:rPr>
          <w:b w:val="0"/>
          <w:i w:val="0"/>
        </w:rPr>
        <w:t>The Investors, the Company and the Founders are individually a “Party” and collectively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engaged in the business of {{BUSINESS_DESCRIPTION}} (the “Business”). The capital structure of the Company immediately prior to Closing is set out in Part A of Schedule 1.</w:t>
      </w:r>
    </w:p>
    <w:p>
      <w:pPr>
        <w:spacing w:before="40"/>
        <w:ind w:left="454"/>
        <w:jc w:val="both"/>
      </w:pPr>
      <w:r>
        <w:rPr>
          <w:b/>
        </w:rPr>
        <w:t xml:space="preserve">B. </w:t>
      </w:r>
      <w:r>
        <w:t>The Investors have agreed to subscribe to {{TOTAL_SECURITIES}} {{SECURITY_TYPE}} of the Company at an issue price of ₹ {{ISSUE_PRICE_INR}} per security, aggregating to the Subscription Amount, on the terms set out in this Agreement.</w:t>
      </w:r>
    </w:p>
    <w:p>
      <w:pPr>
        <w:spacing w:before="40"/>
        <w:ind w:left="454"/>
        <w:jc w:val="both"/>
      </w:pPr>
      <w:r>
        <w:rPr>
          <w:b/>
        </w:rPr>
        <w:t xml:space="preserve">C. </w:t>
      </w:r>
      <w:r>
        <w:t>The Investors are entering into this Agreement in reliance on the representations, warranties, covenants and undertakings of the Company and the Founders contained herein.</w:t>
      </w:r>
    </w:p>
    <w:p>
      <w:pPr>
        <w:spacing w:before="40"/>
        <w:ind w:left="454"/>
        <w:jc w:val="both"/>
      </w:pPr>
      <w:r>
        <w:rPr>
          <w:b/>
        </w:rPr>
        <w:t xml:space="preserve">D. </w:t>
      </w:r>
      <w:r>
        <w:t>The Parties intend to enter into a Shareholders’ Agreement / Investor Rights Agreement of even date herewith setting out their post-Closing rights and obligations as shareholders of the Company.</w:t>
      </w:r>
    </w:p>
    <w:p/>
    <w:p>
      <w:pPr>
        <w:jc w:val="both"/>
      </w:pPr>
      <w:r>
        <w:rPr>
          <w:b/>
          <w:i w:val="0"/>
        </w:rPr>
        <w:t>NOW THEREFORE, in consideration of the mutual covenants and promises contained herein,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the rules and regulations thereunder.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“Affiliate”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relation to any Person, any other Person Controlling, Controlled by, or under common Control with such Person.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“Business Day”</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day (other than Saturday, Sunday or public holiday) on which scheduled commercial banks are open for business in {{JURISDICTION_CITY}} and (for non-resident Investors) the Investor’s jurisdiction.</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“CCPS”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compulsorily convertible preference shares of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“CCDs”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compulsorily convertible debentures of the Company.</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“Closing”</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closing of the transactions contemplated by this Agreement, on the Closing Date.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“Closing Date”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date on which Closing occurs, being not later than the Long-Stop Date.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“Conditions Precedent” / “CPs”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conditions to Closing set out in Schedule 2.</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“Conditions Subsequent” / “CSs”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post-Closing conditions set out in Schedule 3.</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“Control”</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possession, directly or indirectly, of the power to direct the management and policies of a Person, including by holding more than 50% of voting securities or by contract.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“Disclosure Letter”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disclosure letter dated as of the date of this Agreement delivered by the Company and the Founders to the Investors against the Warranties.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pledge, lien, hypothecation, security interest, option, right of first refusal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“FEMA”</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Foreign Exchange Management Act, 1999 together with rules, regulations and circulars thereunder, including the Foreign Exchange Management (Non-debt Instruments) Rules, 2019.</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“Fully Diluted Basis”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share capital of the Company calculated assuming conversion of all convertible securities and exercise of all granted and ungranted ESOP options.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“IRA” / “Shareholders’ Agreement”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Investor Rights Agreement / Shareholders’ Agreement of even date among the Parties.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“Long-Stop Date”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{{LONG_STOP_DATE}}, being the outer date by which Closing must occur.</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“Material Adverse Effect” / “MAE”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any event, change, circumstance, occurrence or condition that has had, or would reasonably be expected to have, a material adverse effect on the Business, assets, financial condition, results of operations or prospects of the Company.</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“Subscription Amount”</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respect of each Investor, the amount payable for the Subscription Securities allotted to such Investor, as set out in Schedule 1 Part B.</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“Subscription Securities”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{{SECURITY_TYPE}} of the Company to be issued and allotted to the Investors pursuant to this Agreement.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“Warranties”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representations and warranties of the Company and the Founders set out in Schedule 4.</w:t>
            </w:r>
          </w:p>
        </w:tc>
      </w:tr>
    </w:tbl>
    <w:p/>
    <w:p>
      <w:pPr>
        <w:spacing w:before="240" w:after="80"/>
        <w:pBdr>
          <w:bottom w:val="single" w:sz="6" w:space="1" w:color="002060"/>
        </w:pBdr>
      </w:pPr>
      <w:r>
        <w:rPr>
          <w:b/>
          <w:color w:val="002060"/>
          <w:sz w:val="25"/>
        </w:rPr>
        <w:t>2.  SUBSCRIPTION AND ISSUE</w:t>
      </w:r>
    </w:p>
    <w:p>
      <w:pPr>
        <w:spacing w:before="80"/>
        <w:jc w:val="both"/>
      </w:pPr>
      <w:r>
        <w:rPr>
          <w:b/>
        </w:rPr>
        <w:t xml:space="preserve">2.1 </w:t>
      </w:r>
      <w:r>
        <w:rPr>
          <w:b/>
        </w:rPr>
        <w:t xml:space="preserve">Subscription. </w:t>
      </w:r>
      <w:r>
        <w:t>Subject to the terms and conditions of this Agreement, the Company shall issue and allot, and each Investor shall subscribe to, the Subscription Securities set out against such Investor’s name in Schedule 1 (Part B), in consideration for the Subscription Amount.</w:t>
      </w:r>
    </w:p>
    <w:p>
      <w:pPr>
        <w:spacing w:before="80"/>
        <w:jc w:val="both"/>
      </w:pPr>
      <w:r>
        <w:rPr>
          <w:b/>
        </w:rPr>
        <w:t xml:space="preserve">2.2 </w:t>
      </w:r>
      <w:r>
        <w:rPr>
          <w:b/>
        </w:rPr>
        <w:t xml:space="preserve">Tranches. </w:t>
      </w:r>
      <w:r>
        <w:t>Where the Subscription is to be effected in tranches, the tranches, milestones and tranche amounts shall be as set out in Schedule 1 (Part C). Each tranche shall be independently subject to satisfaction of the Conditions Precedent applicable to such tranche.</w:t>
      </w:r>
    </w:p>
    <w:p>
      <w:pPr>
        <w:spacing w:before="80"/>
        <w:jc w:val="both"/>
      </w:pPr>
      <w:r>
        <w:rPr>
          <w:b/>
        </w:rPr>
        <w:t xml:space="preserve">2.3 </w:t>
      </w:r>
      <w:r>
        <w:rPr>
          <w:b/>
        </w:rPr>
        <w:t xml:space="preserve">Use of Proceeds. </w:t>
      </w:r>
      <w:r>
        <w:t>The Company shall apply the Subscription Amount solely in accordance with the Use of Proceeds set out in Schedule 5, and shall not deviate from such use except with the prior written consent of the Investors holding not less than {{MAJOR_INVESTOR_PCT}}% of the Subscription Securities (the “Majority Investors”).</w:t>
      </w:r>
    </w:p>
    <w:p>
      <w:pPr>
        <w:spacing w:before="80"/>
        <w:jc w:val="both"/>
      </w:pPr>
      <w:r>
        <w:rPr>
          <w:b/>
        </w:rPr>
        <w:t xml:space="preserve">2.4 </w:t>
      </w:r>
      <w:r>
        <w:rPr>
          <w:b/>
        </w:rPr>
        <w:t xml:space="preserve">Conversion of CCPS / CCDs. </w:t>
      </w:r>
      <w:r>
        <w:t>Where the Subscription Securities are CCPS or CCDs, the conversion ratio, conversion price, conversion mechanics and anti-dilution adjustments shall be as set out in Schedule 6 (Conversion &amp; Anti-Dilution Mechanics) and shall be reflected in the Articles of Association.</w:t>
      </w:r>
    </w:p>
    <w:p>
      <w:pPr>
        <w:spacing w:before="240" w:after="80"/>
        <w:pBdr>
          <w:bottom w:val="single" w:sz="6" w:space="1" w:color="002060"/>
        </w:pBdr>
      </w:pPr>
      <w:r>
        <w:rPr>
          <w:b/>
          <w:color w:val="002060"/>
          <w:sz w:val="25"/>
        </w:rPr>
        <w:t>3.  CONDITIONS PRECEDENT</w:t>
      </w:r>
    </w:p>
    <w:p>
      <w:pPr>
        <w:spacing w:before="80"/>
        <w:jc w:val="both"/>
      </w:pPr>
      <w:r>
        <w:rPr>
          <w:b/>
        </w:rPr>
        <w:t xml:space="preserve">3.1 </w:t>
      </w:r>
      <w:r>
        <w:rPr>
          <w:b/>
        </w:rPr>
        <w:t xml:space="preserve">Conditions Precedent. </w:t>
      </w:r>
      <w:r>
        <w:t>The obligation of the Investors to subscribe to the Subscription Securities at Closing is subject to the fulfilment of the Conditions Precedent set out in Schedule 2 to the satisfaction of the Lead Investor, or waiver in writing by the Lead Investor.</w:t>
      </w:r>
    </w:p>
    <w:p>
      <w:pPr>
        <w:spacing w:before="80"/>
        <w:jc w:val="both"/>
      </w:pPr>
      <w:r>
        <w:rPr>
          <w:b/>
        </w:rPr>
        <w:t xml:space="preserve">3.2 </w:t>
      </w:r>
      <w:r>
        <w:rPr>
          <w:b/>
        </w:rPr>
        <w:t xml:space="preserve">Achievement of CPs. </w:t>
      </w:r>
      <w:r>
        <w:t>The Company and the Founders shall use best efforts to fulfil the Conditions Precedent on or before the Long-Stop Date. The Company shall promptly notify the Investors upon fulfilment of each Condition Precedent and provide reasonable evidence thereof.</w:t>
      </w:r>
    </w:p>
    <w:p>
      <w:pPr>
        <w:spacing w:before="80"/>
        <w:jc w:val="both"/>
      </w:pPr>
      <w:r>
        <w:rPr>
          <w:b/>
        </w:rPr>
        <w:t xml:space="preserve">3.3 </w:t>
      </w:r>
      <w:r>
        <w:rPr>
          <w:b/>
        </w:rPr>
        <w:t xml:space="preserve">Non-Fulfilment. </w:t>
      </w:r>
      <w:r>
        <w:t>If any Condition Precedent is not fulfilled / waived on or before the Long-Stop Date, the Investors shall be entitled (but not obliged) to terminate this Agreement by written notice without liability, in addition to all other available remedies.</w:t>
      </w:r>
    </w:p>
    <w:p>
      <w:pPr>
        <w:spacing w:before="240" w:after="80"/>
        <w:pBdr>
          <w:bottom w:val="single" w:sz="6" w:space="1" w:color="002060"/>
        </w:pBdr>
      </w:pPr>
      <w:r>
        <w:rPr>
          <w:b/>
          <w:color w:val="002060"/>
          <w:sz w:val="25"/>
        </w:rPr>
        <w:t>4.  CLOSING</w:t>
      </w:r>
    </w:p>
    <w:p>
      <w:pPr>
        <w:spacing w:before="80"/>
        <w:jc w:val="both"/>
      </w:pPr>
      <w:r>
        <w:rPr>
          <w:b/>
        </w:rPr>
        <w:t xml:space="preserve">4.1 </w:t>
      </w:r>
      <w:r>
        <w:rPr>
          <w:b/>
        </w:rPr>
        <w:t xml:space="preserve">Closing Date. </w:t>
      </w:r>
      <w:r>
        <w:t>Closing shall take place on a date within {{CLOSING_NOTICE_DAYS}} Business Days from the date on which the Investors confirm in writing that all Conditions Precedent have been fulfilled to their satisfaction, or such other date as the Parties may mutually agree in writing.</w:t>
      </w:r>
    </w:p>
    <w:p>
      <w:pPr>
        <w:spacing w:before="80"/>
        <w:jc w:val="both"/>
      </w:pPr>
      <w:r>
        <w:rPr>
          <w:b/>
        </w:rPr>
        <w:t xml:space="preserve">4.2 </w:t>
      </w:r>
      <w:r>
        <w:rPr>
          <w:b/>
        </w:rPr>
        <w:t xml:space="preserve">Closing Deliverables — Investor Actions. </w:t>
      </w:r>
      <w:r>
        <w:t>At Closing, the Investors shall remit the Subscription Amount (or applicable tranche amount) to the Company’s designated bank account through banking channels, after deduction of any applicable tax at source.</w:t>
      </w:r>
    </w:p>
    <w:p>
      <w:pPr>
        <w:spacing w:before="80"/>
        <w:jc w:val="both"/>
      </w:pPr>
      <w:r>
        <w:rPr>
          <w:b/>
        </w:rPr>
        <w:t xml:space="preserve">4.3 </w:t>
      </w:r>
      <w:r>
        <w:rPr>
          <w:b/>
        </w:rPr>
        <w:t xml:space="preserve">Closing Deliverables — Company Actions. </w:t>
      </w:r>
      <w:r>
        <w:t>At Closing, the Company shall, simultaneously with the remittance referred to in Clause 4.2, deliver to each Investor:</w:t>
      </w:r>
    </w:p>
    <w:p>
      <w:pPr>
        <w:pStyle w:val="ListBullet"/>
        <w:spacing w:after="40"/>
        <w:ind w:left="567"/>
        <w:jc w:val="both"/>
      </w:pPr>
      <w:r>
        <w:t>certified copies of Board and Shareholder resolutions approving the issuance, allotment and other actions contemplated hereunder;</w:t>
      </w:r>
    </w:p>
    <w:p>
      <w:pPr>
        <w:pStyle w:val="ListBullet"/>
        <w:spacing w:after="40"/>
        <w:ind w:left="567"/>
        <w:jc w:val="both"/>
      </w:pPr>
      <w:r>
        <w:t>certified copy of the amended Articles of Association incorporating the rights of the Investors and the conversion mechanics;</w:t>
      </w:r>
    </w:p>
    <w:p>
      <w:pPr>
        <w:pStyle w:val="ListBullet"/>
        <w:spacing w:after="40"/>
        <w:ind w:left="567"/>
        <w:jc w:val="both"/>
      </w:pPr>
      <w:r>
        <w:t>valuation report from a Registered Valuer under Section 247 of the Act (and Rule 11UA of the Income-tax Rules, 1962 / Chartered Accountant DCF report under FEMA NDI Rules, for non-resident Investors);</w:t>
      </w:r>
    </w:p>
    <w:p>
      <w:pPr>
        <w:pStyle w:val="ListBullet"/>
        <w:spacing w:after="40"/>
        <w:ind w:left="567"/>
        <w:jc w:val="both"/>
      </w:pPr>
      <w:r>
        <w:t>share certificate(s) / DEMAT credit reflecting the allotment, within the timelines under Section 56(4) of the Act;</w:t>
      </w:r>
    </w:p>
    <w:p>
      <w:pPr>
        <w:pStyle w:val="ListBullet"/>
        <w:spacing w:after="40"/>
        <w:ind w:left="567"/>
        <w:jc w:val="both"/>
      </w:pPr>
      <w:r>
        <w:t>extract from the Register of Members showing the Investor as a registered holder;</w:t>
      </w:r>
    </w:p>
    <w:p>
      <w:pPr>
        <w:pStyle w:val="ListBullet"/>
        <w:spacing w:after="40"/>
        <w:ind w:left="567"/>
        <w:jc w:val="both"/>
      </w:pPr>
      <w:r>
        <w:t>Form PAS-3 acknowledgement filed with the Registrar of Companies;</w:t>
      </w:r>
    </w:p>
    <w:p>
      <w:pPr>
        <w:pStyle w:val="ListBullet"/>
        <w:spacing w:after="40"/>
        <w:ind w:left="567"/>
        <w:jc w:val="both"/>
      </w:pPr>
      <w:r>
        <w:t>for non-resident Investors: Form FC-GPR filing acknowledgement with the AD Bank and the Reserve Bank of India;</w:t>
      </w:r>
    </w:p>
    <w:p>
      <w:pPr>
        <w:pStyle w:val="ListBullet"/>
        <w:spacing w:after="40"/>
        <w:ind w:left="567"/>
        <w:jc w:val="both"/>
      </w:pPr>
      <w:r>
        <w:t>executed counterparts of the Investor Rights Agreement / Shareholders’ Agreement, the Founders’ IP Assignment Deeds, employment agreements of key personnel and any other Transaction Document;</w:t>
      </w:r>
    </w:p>
    <w:p>
      <w:pPr>
        <w:pStyle w:val="ListBullet"/>
        <w:spacing w:after="40"/>
        <w:ind w:left="567"/>
        <w:jc w:val="both"/>
      </w:pPr>
      <w:r>
        <w:t>no-objection certificates from existing lenders, where applicable;</w:t>
      </w:r>
    </w:p>
    <w:p>
      <w:pPr>
        <w:pStyle w:val="ListBullet"/>
        <w:spacing w:after="40"/>
        <w:ind w:left="567"/>
        <w:jc w:val="both"/>
      </w:pPr>
      <w:r>
        <w:t>a certificate of an authorised signatory confirming (i) accuracy of Warranties on Closing Date; and (ii) fulfilment of all Conditions Precedent.</w:t>
      </w:r>
    </w:p>
    <w:p>
      <w:pPr>
        <w:spacing w:before="80"/>
        <w:jc w:val="both"/>
      </w:pPr>
      <w:r>
        <w:rPr>
          <w:b/>
        </w:rPr>
        <w:t xml:space="preserve">4.4 </w:t>
      </w:r>
      <w:r>
        <w:rPr>
          <w:b/>
        </w:rPr>
        <w:t xml:space="preserve">Simultaneity. </w:t>
      </w:r>
      <w:r>
        <w:t>All actions at Closing shall be deemed to take place simultaneously and no delivery or payment shall be effective until all actions have been completed.</w:t>
      </w:r>
    </w:p>
    <w:p>
      <w:pPr>
        <w:spacing w:before="240" w:after="80"/>
        <w:pBdr>
          <w:bottom w:val="single" w:sz="6" w:space="1" w:color="002060"/>
        </w:pBdr>
      </w:pPr>
      <w:r>
        <w:rPr>
          <w:b/>
          <w:color w:val="002060"/>
          <w:sz w:val="25"/>
        </w:rPr>
        <w:t>5.  CONDITIONS SUBSEQUENT</w:t>
      </w:r>
    </w:p>
    <w:p>
      <w:pPr>
        <w:spacing w:before="80"/>
        <w:jc w:val="both"/>
      </w:pPr>
      <w:r>
        <w:rPr>
          <w:b/>
        </w:rPr>
        <w:t xml:space="preserve">5.1 </w:t>
      </w:r>
      <w:r>
        <w:rPr>
          <w:b/>
        </w:rPr>
        <w:t xml:space="preserve">Post-Closing Compliance. </w:t>
      </w:r>
      <w:r>
        <w:t>The Company shall, within the timelines set out in Schedule 3, fulfil the Conditions Subsequent. The Company shall provide reasonable evidence of fulfilment of each Condition Subsequent to the Lead Investor.</w:t>
      </w:r>
    </w:p>
    <w:p>
      <w:pPr>
        <w:spacing w:before="80"/>
        <w:jc w:val="both"/>
      </w:pPr>
      <w:r>
        <w:rPr>
          <w:b/>
        </w:rPr>
        <w:t xml:space="preserve">5.2 </w:t>
      </w:r>
      <w:r>
        <w:rPr>
          <w:b/>
        </w:rPr>
        <w:t xml:space="preserve">Consequences. </w:t>
      </w:r>
      <w:r>
        <w:t>Failure to fulfil any Condition Subsequent within the specified timeline shall be a material breach of this Agreement entitling the Investors to (a) indemnification under Clause 10; (b) accelerated put option (if any) under the IRA; and (c) any other remedy available at law or in equity.</w:t>
      </w:r>
    </w:p>
    <w:p>
      <w:pPr>
        <w:spacing w:before="240" w:after="80"/>
        <w:pBdr>
          <w:bottom w:val="single" w:sz="6" w:space="1" w:color="002060"/>
        </w:pBdr>
      </w:pPr>
      <w:r>
        <w:rPr>
          <w:b/>
          <w:color w:val="002060"/>
          <w:sz w:val="25"/>
        </w:rPr>
        <w:t>6.  RIGHTS ATTACHED TO THE SUBSCRIPTION SECURITIES</w:t>
      </w:r>
    </w:p>
    <w:p>
      <w:pPr>
        <w:spacing w:before="80"/>
        <w:jc w:val="both"/>
      </w:pPr>
      <w:r>
        <w:rPr>
          <w:b/>
        </w:rPr>
        <w:t xml:space="preserve">6.1 </w:t>
      </w:r>
      <w:r>
        <w:rPr>
          <w:b/>
        </w:rPr>
        <w:t xml:space="preserve">Pari Passu / Special Rights. </w:t>
      </w:r>
      <w:r>
        <w:t>The Subscription Securities shall carry the rights set out in Schedule 7 (Rights and Preferences), as reflected in the amended Articles of Association, including: (a) liquidation preference; (b) anti-dilution protection; (c) preferential dividend; (d) information rights; (e) board nomination rights; (f) reserved matters / consent rights; (g) pre-emptive rights; (h) tag-along and drag-along rights; and (i) exit rights.</w:t>
      </w:r>
    </w:p>
    <w:p>
      <w:pPr>
        <w:spacing w:before="240" w:after="80"/>
        <w:pBdr>
          <w:bottom w:val="single" w:sz="6" w:space="1" w:color="002060"/>
        </w:pBdr>
      </w:pPr>
      <w:r>
        <w:rPr>
          <w:b/>
          <w:color w:val="002060"/>
          <w:sz w:val="25"/>
        </w:rPr>
        <w:t>7.  REPRESENTATIONS AND WARRANTIES</w:t>
      </w:r>
    </w:p>
    <w:p>
      <w:pPr>
        <w:spacing w:before="80"/>
        <w:jc w:val="both"/>
      </w:pPr>
      <w:r>
        <w:rPr>
          <w:b/>
        </w:rPr>
        <w:t xml:space="preserve">7.1 </w:t>
      </w:r>
      <w:r>
        <w:rPr>
          <w:b/>
        </w:rPr>
        <w:t xml:space="preserve">Company and Founder Warranties. </w:t>
      </w:r>
      <w:r>
        <w:t>The Company and each Founder jointly and severally represent and warrant to the Investors in the terms set out in Schedule 4, both as of the date hereof and as of Closing, save as expressly disclosed in the Disclosure Letter against specific Warranties.</w:t>
      </w:r>
    </w:p>
    <w:p>
      <w:pPr>
        <w:spacing w:before="80"/>
        <w:jc w:val="both"/>
      </w:pPr>
      <w:r>
        <w:rPr>
          <w:b/>
        </w:rPr>
        <w:t xml:space="preserve">7.2 </w:t>
      </w:r>
      <w:r>
        <w:rPr>
          <w:b/>
        </w:rPr>
        <w:t xml:space="preserve">Investor Warranties. </w:t>
      </w:r>
      <w:r>
        <w:t>Each Investor represents and warrants to the Company, on a several (not joint) basis, the matters set out in Schedule 4 Part B (including authority, no conflict, no insolvency, lawful source of funds, and (for non-resident Investors) compliance with FEMA / FATCA / CRS).</w:t>
      </w:r>
    </w:p>
    <w:p>
      <w:pPr>
        <w:spacing w:before="80"/>
        <w:jc w:val="both"/>
      </w:pPr>
      <w:r>
        <w:rPr>
          <w:b/>
        </w:rPr>
        <w:t xml:space="preserve">7.3 </w:t>
      </w:r>
      <w:r>
        <w:rPr>
          <w:b/>
        </w:rPr>
        <w:t xml:space="preserve">Reliance. </w:t>
      </w:r>
      <w:r>
        <w:t>The Parties acknowledge that each Party has entered into this Agreement in reliance upon the Warranties of the other.</w:t>
      </w:r>
    </w:p>
    <w:p>
      <w:pPr>
        <w:spacing w:before="80"/>
        <w:jc w:val="both"/>
      </w:pPr>
      <w:r>
        <w:rPr>
          <w:b/>
        </w:rPr>
        <w:t xml:space="preserve">7.4 </w:t>
      </w:r>
      <w:r>
        <w:rPr>
          <w:b/>
        </w:rPr>
        <w:t xml:space="preserve">Bring-down. </w:t>
      </w:r>
      <w:r>
        <w:t>The Company and Founders shall promptly notify the Investors of any matter arising between the date hereof and Closing that would cause any Warranty to be untrue or misleading.</w:t>
      </w:r>
    </w:p>
    <w:p>
      <w:pPr>
        <w:spacing w:before="240" w:after="80"/>
        <w:pBdr>
          <w:bottom w:val="single" w:sz="6" w:space="1" w:color="002060"/>
        </w:pBdr>
      </w:pPr>
      <w:r>
        <w:rPr>
          <w:b/>
          <w:color w:val="002060"/>
          <w:sz w:val="25"/>
        </w:rPr>
        <w:t>8.  COVENANTS PENDING CLOSING</w:t>
      </w:r>
    </w:p>
    <w:p>
      <w:pPr>
        <w:spacing w:before="80"/>
        <w:jc w:val="both"/>
      </w:pPr>
      <w:r>
        <w:rPr>
          <w:b/>
        </w:rPr>
        <w:t xml:space="preserve">8.1 </w:t>
      </w:r>
      <w:r>
        <w:rPr>
          <w:b/>
        </w:rPr>
        <w:t xml:space="preserve">Conduct of Business. </w:t>
      </w:r>
      <w:r>
        <w:t>Between the date hereof and Closing, the Company shall conduct the Business in the ordinary course consistent with past practice and shall not, without the prior written consent of the Lead Investor, undertake any of the matters listed in Schedule 8 (Standstill Matters), including but not limited to: issuance of securities, declaration of dividend, borrowing, capital expenditure beyond a threshold, related-party transactions, material contracts, settlement of litigation, change in key personnel, and amendment of constitutional documents.</w:t>
      </w:r>
    </w:p>
    <w:p>
      <w:pPr>
        <w:spacing w:before="80"/>
        <w:jc w:val="both"/>
      </w:pPr>
      <w:r>
        <w:rPr>
          <w:b/>
        </w:rPr>
        <w:t xml:space="preserve">8.2 </w:t>
      </w:r>
      <w:r>
        <w:rPr>
          <w:b/>
        </w:rPr>
        <w:t xml:space="preserve">Access. </w:t>
      </w:r>
      <w:r>
        <w:t>The Company shall provide the Investors and their advisors reasonable access to its books, records, properties, personnel and advisors for the purpose of completing due diligence and verifying Closing readiness.</w:t>
      </w:r>
    </w:p>
    <w:p>
      <w:pPr>
        <w:spacing w:before="80"/>
        <w:jc w:val="both"/>
      </w:pPr>
      <w:r>
        <w:rPr>
          <w:b/>
        </w:rPr>
        <w:t xml:space="preserve">8.3 </w:t>
      </w:r>
      <w:r>
        <w:rPr>
          <w:b/>
        </w:rPr>
        <w:t xml:space="preserve">No Shop. </w:t>
      </w:r>
      <w:r>
        <w:t>From the date hereof until the earlier of Closing or termination of this Agreement, the Company and the Founders shall not, directly or indirectly, solicit, encourage or negotiate any alternate transaction relating to the issuance or sale of securities of the Company.</w:t>
      </w:r>
    </w:p>
    <w:p>
      <w:pPr>
        <w:spacing w:before="240" w:after="80"/>
        <w:pBdr>
          <w:bottom w:val="single" w:sz="6" w:space="1" w:color="002060"/>
        </w:pBdr>
      </w:pPr>
      <w:r>
        <w:rPr>
          <w:b/>
          <w:color w:val="002060"/>
          <w:sz w:val="25"/>
        </w:rPr>
        <w:t>9.  TERMINATION</w:t>
      </w:r>
    </w:p>
    <w:p>
      <w:pPr>
        <w:spacing w:before="80"/>
        <w:jc w:val="both"/>
      </w:pPr>
      <w:r>
        <w:rPr>
          <w:b/>
        </w:rPr>
        <w:t xml:space="preserve">9.1 </w:t>
      </w:r>
      <w:r>
        <w:rPr>
          <w:b/>
        </w:rPr>
        <w:t xml:space="preserve">Termination Events. </w:t>
      </w:r>
      <w:r>
        <w:t>This Agreement may be terminated prior to Closing:</w:t>
      </w:r>
    </w:p>
    <w:p>
      <w:pPr>
        <w:spacing w:before="40"/>
        <w:ind w:left="454"/>
        <w:jc w:val="both"/>
      </w:pPr>
      <w:r>
        <w:rPr>
          <w:b/>
        </w:rPr>
        <w:t xml:space="preserve">9.1.1 </w:t>
      </w:r>
      <w:r>
        <w:t>by mutual written consent of the Parties;</w:t>
      </w:r>
    </w:p>
    <w:p>
      <w:pPr>
        <w:spacing w:before="40"/>
        <w:ind w:left="454"/>
        <w:jc w:val="both"/>
      </w:pPr>
      <w:r>
        <w:rPr>
          <w:b/>
        </w:rPr>
        <w:t xml:space="preserve">9.1.2 </w:t>
      </w:r>
      <w:r>
        <w:t>by the Investors, if (a) any Condition Precedent is not fulfilled or waived by the Long-Stop Date; (b) the Company or Founders are in material breach of any Warranty or covenant that remains uncured for {{CURE_PERIOD_DAYS}} days after written notice; (c) an MAE has occurred; or (d) any insolvency / winding-up proceedings have been initiated against the Company;</w:t>
      </w:r>
    </w:p>
    <w:p>
      <w:pPr>
        <w:spacing w:before="40"/>
        <w:ind w:left="454"/>
        <w:jc w:val="both"/>
      </w:pPr>
      <w:r>
        <w:rPr>
          <w:b/>
        </w:rPr>
        <w:t xml:space="preserve">9.1.3 </w:t>
      </w:r>
      <w:r>
        <w:t>by the Company, if (a) any Investor is in material breach of its payment obligations that remains uncured for {{CURE_PERIOD_DAYS}} days; or (b) any Investor is subject to insolvency proceedings.</w:t>
      </w:r>
    </w:p>
    <w:p>
      <w:pPr>
        <w:spacing w:before="80"/>
        <w:jc w:val="both"/>
      </w:pPr>
      <w:r>
        <w:rPr>
          <w:b/>
        </w:rPr>
        <w:t xml:space="preserve">9.2 </w:t>
      </w:r>
      <w:r>
        <w:rPr>
          <w:b/>
        </w:rPr>
        <w:t xml:space="preserve">Effect of Termination. </w:t>
      </w:r>
      <w:r>
        <w:t>Termination shall not affect (a) accrued rights and remedies; or (b) provisions intended to survive (Clauses 1, 9, 10, 11, 12 and 13).</w:t>
      </w:r>
    </w:p>
    <w:p>
      <w:pPr>
        <w:spacing w:before="240" w:after="80"/>
        <w:pBdr>
          <w:bottom w:val="single" w:sz="6" w:space="1" w:color="002060"/>
        </w:pBdr>
      </w:pPr>
      <w:r>
        <w:rPr>
          <w:b/>
          <w:color w:val="002060"/>
          <w:sz w:val="25"/>
        </w:rPr>
        <w:t>10.  INDEMNIFICATION</w:t>
      </w:r>
    </w:p>
    <w:p>
      <w:pPr>
        <w:spacing w:before="80"/>
        <w:jc w:val="both"/>
      </w:pPr>
      <w:r>
        <w:rPr>
          <w:b/>
        </w:rPr>
        <w:t xml:space="preserve">10.1 </w:t>
      </w:r>
      <w:r>
        <w:rPr>
          <w:b/>
        </w:rPr>
        <w:t xml:space="preserve">Indemnity by Company and Founders. </w:t>
      </w:r>
      <w:r>
        <w:t>The Company and each Founder shall jointly and severally indemnify, defend and hold harmless each Investor and its Affiliates (the “Investor Indemnified Parties”) from and against all losses suffered or incurred arising out of:</w:t>
      </w:r>
    </w:p>
    <w:p>
      <w:pPr>
        <w:spacing w:before="40"/>
        <w:ind w:left="454"/>
        <w:jc w:val="both"/>
      </w:pPr>
      <w:r>
        <w:rPr>
          <w:b/>
        </w:rPr>
        <w:t xml:space="preserve">(a) </w:t>
      </w:r>
      <w:r>
        <w:t>any breach or inaccuracy of any Warranty of the Company / Founders;</w:t>
      </w:r>
    </w:p>
    <w:p>
      <w:pPr>
        <w:spacing w:before="40"/>
        <w:ind w:left="454"/>
        <w:jc w:val="both"/>
      </w:pPr>
      <w:r>
        <w:rPr>
          <w:b/>
        </w:rPr>
        <w:t xml:space="preserve">(b) </w:t>
      </w:r>
      <w:r>
        <w:t>any breach of any covenant or undertaking of the Company / Founders;</w:t>
      </w:r>
    </w:p>
    <w:p>
      <w:pPr>
        <w:spacing w:before="40"/>
        <w:ind w:left="454"/>
        <w:jc w:val="both"/>
      </w:pPr>
      <w:r>
        <w:rPr>
          <w:b/>
        </w:rPr>
        <w:t xml:space="preserve">(c) </w:t>
      </w:r>
      <w:r>
        <w:t>any non-fulfilment of any Condition Subsequent within the prescribed timeline;</w:t>
      </w:r>
    </w:p>
    <w:p>
      <w:pPr>
        <w:spacing w:before="40"/>
        <w:ind w:left="454"/>
        <w:jc w:val="both"/>
      </w:pPr>
      <w:r>
        <w:rPr>
          <w:b/>
        </w:rPr>
        <w:t xml:space="preserve">(d) </w:t>
      </w:r>
      <w:r>
        <w:t>any tax liability of the Company arising out of any act, omission or transaction prior to Closing not reflected in the audited financial statements / DD reports;</w:t>
      </w:r>
    </w:p>
    <w:p>
      <w:pPr>
        <w:spacing w:before="40"/>
        <w:ind w:left="454"/>
        <w:jc w:val="both"/>
      </w:pPr>
      <w:r>
        <w:rPr>
          <w:b/>
        </w:rPr>
        <w:t xml:space="preserve">(e) </w:t>
      </w:r>
      <w:r>
        <w:t>any claim of infringement of third-party IP rights in the products / services of the Company existing as of Closing; and</w:t>
      </w:r>
    </w:p>
    <w:p>
      <w:pPr>
        <w:spacing w:before="40"/>
        <w:ind w:left="454"/>
        <w:jc w:val="both"/>
      </w:pPr>
      <w:r>
        <w:rPr>
          <w:b/>
        </w:rPr>
        <w:t xml:space="preserve">(f) </w:t>
      </w:r>
      <w:r>
        <w:t>any third-party claim or litigation existing as of Closing or arising from facts existing prior to Closing.</w:t>
      </w:r>
    </w:p>
    <w:p>
      <w:pPr>
        <w:spacing w:before="80"/>
        <w:jc w:val="both"/>
      </w:pPr>
      <w:r>
        <w:rPr>
          <w:b/>
        </w:rPr>
        <w:t xml:space="preserve">10.2 </w:t>
      </w:r>
      <w:r>
        <w:rPr>
          <w:b/>
        </w:rPr>
        <w:t xml:space="preserve">Limitations. </w:t>
      </w:r>
      <w:r>
        <w:t>Save in case of fraud, wilful concealment, criminal acts or breach of Fundamental Warranties (defined in Schedule 4), the aggregate liability under Clause 10.1 shall be limited to {{INDEMNITY_CAP_PERCENT}}% of the Subscription Amount of each Investor; the claim threshold (de-minimis) shall be ₹ {{DE_MINIMIS_INR}} per claim; and the basket shall be ₹ {{BASKET_INR}}. The time limit for claims shall be {{INDEMNITY_PERIOD_MONTHS}} months from Closing (and 7 years for tax claims; perpetual for Fundamental Warranties and Fraud).</w:t>
      </w:r>
    </w:p>
    <w:p>
      <w:pPr>
        <w:spacing w:before="80"/>
        <w:jc w:val="both"/>
      </w:pPr>
      <w:r>
        <w:rPr>
          <w:b/>
        </w:rPr>
        <w:t xml:space="preserve">10.3 </w:t>
      </w:r>
      <w:r>
        <w:rPr>
          <w:b/>
        </w:rPr>
        <w:t xml:space="preserve">Procedure. </w:t>
      </w:r>
      <w:r>
        <w:t>The Investor Indemnified Parties shall promptly notify the Indemnifying Parties of any claim with reasonable particulars. The Indemnifying Parties shall have the right (but not obligation) to take over and defend the claim with reasonable counsel. No settlement shall be entered into without consent of the Indemnified Party.</w:t>
      </w:r>
    </w:p>
    <w:p>
      <w:pPr>
        <w:spacing w:before="80"/>
        <w:jc w:val="both"/>
      </w:pPr>
      <w:r>
        <w:rPr>
          <w:b/>
        </w:rPr>
        <w:t xml:space="preserve">10.4 </w:t>
      </w:r>
      <w:r>
        <w:rPr>
          <w:b/>
        </w:rPr>
        <w:t xml:space="preserve">Indemnity Payment. </w:t>
      </w:r>
      <w:r>
        <w:t>Indemnity payments shall be made in immediately available funds within {{INDEMNITY_PAYMENT_DAYS}} days of agreement / final determination. Indemnity payments shall be treated as an adjustment to the Subscription Amount for tax purposes.</w:t>
      </w:r>
    </w:p>
    <w:p>
      <w:pPr>
        <w:spacing w:before="240" w:after="80"/>
        <w:pBdr>
          <w:bottom w:val="single" w:sz="6" w:space="1" w:color="002060"/>
        </w:pBdr>
      </w:pPr>
      <w:r>
        <w:rPr>
          <w:b/>
          <w:color w:val="002060"/>
          <w:sz w:val="25"/>
        </w:rPr>
        <w:t>11.  CONFIDENTIALITY AND ANNOUNCEMENTS</w:t>
      </w:r>
    </w:p>
    <w:p>
      <w:pPr>
        <w:spacing w:before="80"/>
        <w:jc w:val="both"/>
      </w:pPr>
      <w:r>
        <w:rPr>
          <w:b/>
        </w:rPr>
        <w:t xml:space="preserve">11.1 </w:t>
      </w:r>
      <w:r>
        <w:rPr>
          <w:b/>
        </w:rPr>
        <w:t xml:space="preserve">Confidentiality. </w:t>
      </w:r>
      <w:r>
        <w:t>Each Party shall keep the existence and terms of this Agreement and all Confidential Information of the other Parties strictly confidential, save (a) to professional advisors under confidentiality obligations; (b) as required by Applicable Law / regulatory order; or (c) (in case of Investors) to their LPs, fund advisors and permitted Affiliates.</w:t>
      </w:r>
    </w:p>
    <w:p>
      <w:pPr>
        <w:spacing w:before="80"/>
        <w:jc w:val="both"/>
      </w:pPr>
      <w:r>
        <w:rPr>
          <w:b/>
        </w:rPr>
        <w:t xml:space="preserve">11.2 </w:t>
      </w:r>
      <w:r>
        <w:rPr>
          <w:b/>
        </w:rPr>
        <w:t xml:space="preserve">Public Announcements. </w:t>
      </w:r>
      <w:r>
        <w:t>No Party shall make any public announcement regarding the transaction except with the prior written consent of the other Parties (such consent not to be unreasonably withheld).</w:t>
      </w:r>
    </w:p>
    <w:p>
      <w:pPr>
        <w:spacing w:before="240" w:after="80"/>
        <w:pBdr>
          <w:bottom w:val="single" w:sz="6" w:space="1" w:color="002060"/>
        </w:pBdr>
      </w:pPr>
      <w:r>
        <w:rPr>
          <w:b/>
          <w:color w:val="002060"/>
          <w:sz w:val="25"/>
        </w:rPr>
        <w:t>12.  GOVERNING LAW AND DISPUTE RESOLUTION</w:t>
      </w:r>
    </w:p>
    <w:p>
      <w:pPr>
        <w:spacing w:before="80"/>
        <w:jc w:val="both"/>
      </w:pPr>
      <w:r>
        <w:rPr>
          <w:b/>
        </w:rPr>
        <w:t xml:space="preserve">12.1 </w:t>
      </w:r>
      <w:r>
        <w:rPr>
          <w:b/>
        </w:rPr>
        <w:t xml:space="preserve">Governing Law. </w:t>
      </w:r>
      <w:r>
        <w:t>This Agreement shall be governed by the laws of the Republic of India.</w:t>
      </w:r>
    </w:p>
    <w:p>
      <w:pPr>
        <w:spacing w:before="80"/>
        <w:jc w:val="both"/>
      </w:pPr>
      <w:r>
        <w:rPr>
          <w:b/>
        </w:rPr>
        <w:t xml:space="preserve">12.2 </w:t>
      </w:r>
      <w:r>
        <w:rPr>
          <w:b/>
        </w:rPr>
        <w:t xml:space="preserve">Arbitration. </w:t>
      </w:r>
      <w:r>
        <w:t>Any Dispute, if not resolved by amicable negotiation within {{NEGOTIATION_DAYS}} days, shall be referred to arbitration under the Arbitration and Conciliation Act, 1996. The tribunal shall consist of {{ARBITRATOR_NUMBER}} arbitrator(s) appointed under the {{ARBITRATION_INSTITUTION_RULES}} (e.g., MCIA / DIAC / SIAC). The seat and venue shall be {{ARBITRATION_SEAT_CITY}}, India. Language: English.</w:t>
      </w:r>
    </w:p>
    <w:p>
      <w:pPr>
        <w:spacing w:before="80"/>
        <w:jc w:val="both"/>
      </w:pPr>
      <w:r>
        <w:rPr>
          <w:b/>
        </w:rPr>
        <w:t xml:space="preserve">12.3 </w:t>
      </w:r>
      <w:r>
        <w:rPr>
          <w:b/>
        </w:rPr>
        <w:t xml:space="preserve">Jurisdiction. </w:t>
      </w:r>
      <w:r>
        <w:t>Subject to Clause 12.2, the courts at {{JURISDICTION_CITY}} shall have exclusive jurisdiction in respect of matters under the Arbitration and Conciliation Act, 1996.</w:t>
      </w:r>
    </w:p>
    <w:p>
      <w:pPr>
        <w:spacing w:before="240" w:after="80"/>
        <w:pBdr>
          <w:bottom w:val="single" w:sz="6" w:space="1" w:color="002060"/>
        </w:pBdr>
      </w:pPr>
      <w:r>
        <w:rPr>
          <w:b/>
          <w:color w:val="002060"/>
          <w:sz w:val="25"/>
        </w:rPr>
        <w:t>13.  MISCELLANEOUS</w:t>
      </w:r>
    </w:p>
    <w:p>
      <w:pPr>
        <w:spacing w:before="80"/>
        <w:jc w:val="both"/>
      </w:pPr>
      <w:r>
        <w:rPr>
          <w:b/>
        </w:rPr>
        <w:t xml:space="preserve">13.1 </w:t>
      </w:r>
      <w:r>
        <w:rPr>
          <w:b/>
        </w:rPr>
        <w:t xml:space="preserve">Entire Agreement. </w:t>
      </w:r>
      <w:r>
        <w:t>This Agreement, together with the Disclosure Letter and other Transaction Documents, constitutes the entire agreement between the Parties on the subject matter hereof.</w:t>
      </w:r>
    </w:p>
    <w:p>
      <w:pPr>
        <w:spacing w:before="80"/>
        <w:jc w:val="both"/>
      </w:pPr>
      <w:r>
        <w:rPr>
          <w:b/>
        </w:rPr>
        <w:t xml:space="preserve">13.2 </w:t>
      </w:r>
      <w:r>
        <w:rPr>
          <w:b/>
        </w:rPr>
        <w:t xml:space="preserve">Amendment. </w:t>
      </w:r>
      <w:r>
        <w:t>Amendments shall be in writing signed by all the Parties.</w:t>
      </w:r>
    </w:p>
    <w:p>
      <w:pPr>
        <w:spacing w:before="80"/>
        <w:jc w:val="both"/>
      </w:pPr>
      <w:r>
        <w:rPr>
          <w:b/>
        </w:rPr>
        <w:t xml:space="preserve">13.3 </w:t>
      </w:r>
      <w:r>
        <w:rPr>
          <w:b/>
        </w:rPr>
        <w:t xml:space="preserve">Severability, Waiver, Assignment. </w:t>
      </w:r>
      <w:r>
        <w:t>Severability applies. No waiver shall be implied. Investors may assign their rights to Affiliates and permitted transferees under the IRA; the Company / Founders shall not assign without Investor consent.</w:t>
      </w:r>
    </w:p>
    <w:p>
      <w:pPr>
        <w:spacing w:before="80"/>
        <w:jc w:val="both"/>
      </w:pPr>
      <w:r>
        <w:rPr>
          <w:b/>
        </w:rPr>
        <w:t xml:space="preserve">13.4 </w:t>
      </w:r>
      <w:r>
        <w:rPr>
          <w:b/>
        </w:rPr>
        <w:t xml:space="preserve">Notices. </w:t>
      </w:r>
      <w:r>
        <w:t>All notices shall be in writing and delivered to the addresses set out in Schedule 9 by hand, registered post, courier or email.</w:t>
      </w:r>
    </w:p>
    <w:p>
      <w:pPr>
        <w:spacing w:before="80"/>
        <w:jc w:val="both"/>
      </w:pPr>
      <w:r>
        <w:rPr>
          <w:b/>
        </w:rPr>
        <w:t xml:space="preserve">13.5 </w:t>
      </w:r>
      <w:r>
        <w:rPr>
          <w:b/>
        </w:rPr>
        <w:t xml:space="preserve">Costs and Expenses. </w:t>
      </w:r>
      <w:r>
        <w:t>Each Party shall bear its own costs. The Company shall, however, reimburse documented legal and due diligence expenses of the Lead Investor up to ₹ {{INVESTOR_COSTS_CAP_INR}}.</w:t>
      </w:r>
    </w:p>
    <w:p>
      <w:pPr>
        <w:spacing w:before="80"/>
        <w:jc w:val="both"/>
      </w:pPr>
      <w:r>
        <w:rPr>
          <w:b/>
        </w:rPr>
        <w:t xml:space="preserve">13.6 </w:t>
      </w:r>
      <w:r>
        <w:rPr>
          <w:b/>
        </w:rPr>
        <w:t xml:space="preserve">Counterparts &amp; Electronic Signatures. </w:t>
      </w:r>
      <w:r>
        <w:t>This Agreement may be executed in counterparts (including electronically under the Information Technology Act, 2000), each of which shall be deemed an original.</w:t>
      </w:r>
    </w:p>
    <w:p>
      <w:pPr>
        <w:spacing w:before="80"/>
        <w:jc w:val="both"/>
      </w:pPr>
      <w:r>
        <w:rPr>
          <w:b/>
        </w:rPr>
        <w:t xml:space="preserve">13.7 </w:t>
      </w:r>
      <w:r>
        <w:rPr>
          <w:b/>
        </w:rPr>
        <w:t xml:space="preserve">Stamp Duty. </w:t>
      </w:r>
      <w:r>
        <w:t>Stamp duty payable on this Agreement under the applicable State Stamp Act shall be borne by the Company. Stamp duty on issue of shares (Article 56A of the Indian Stamp Act, 1899 — uniformly 0.005% of the issue value) shall also be borne by the Company.</w:t>
      </w:r>
    </w:p>
    <w:p>
      <w:pPr>
        <w:spacing w:before="80"/>
        <w:jc w:val="both"/>
      </w:pPr>
      <w:r>
        <w:rPr>
          <w:b/>
        </w:rPr>
        <w:t xml:space="preserve">13.8 </w:t>
      </w:r>
      <w:r>
        <w:rPr>
          <w:b/>
        </w:rPr>
        <w:t xml:space="preserve">Survival. </w:t>
      </w:r>
      <w:r>
        <w:t>Provisions intended by their nature to survive (incl. Clauses 1, 10, 11, 12, 13) shall survive termination / Closing.</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LEAD INVESTOR ({{INVESTOR_1_NAME}})</w:t>
      </w:r>
    </w:p>
    <w:p/>
    <w:p>
      <w:r>
        <w:t>_________________________________</w:t>
      </w:r>
    </w:p>
    <w:p>
      <w:r>
        <w:rPr>
          <w:b/>
        </w:rPr>
        <w:t>Name: {{INVESTOR_1_SIGNATORY_NAME}}</w:t>
      </w:r>
    </w:p>
    <w:p>
      <w:r>
        <w:t>Designation: {{INVESTOR_1_SIGNATORY_DESIGNATION}}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INVESTOR 2 ({{INVESTOR_2_NAME}})</w:t>
      </w:r>
    </w:p>
    <w:p/>
    <w:p>
      <w:r>
        <w:t>_________________________________</w:t>
      </w:r>
    </w:p>
    <w:p>
      <w:r>
        <w:rPr>
          <w:b/>
        </w:rPr>
        <w:t>Name: {{INVESTOR_2_SIGNATORY_NAME}}</w:t>
      </w:r>
    </w:p>
    <w:p>
      <w:r>
        <w:t>Designation: {{INVESTOR_2_SIGNATORY_DESIGNATION}}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1</w:t>
      </w:r>
    </w:p>
    <w:p/>
    <w:p>
      <w:r>
        <w:t>_________________________________</w:t>
      </w:r>
    </w:p>
    <w:p>
      <w:r>
        <w:rPr>
          <w:b/>
        </w:rPr>
        <w:t>Name: {{FOUNDER_1_NAME}}</w:t>
      </w:r>
    </w:p>
    <w:p>
      <w:r>
        <w:t>Designation: {{FOUNDER_1_DESIGNATION}}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2</w:t>
      </w:r>
    </w:p>
    <w:p/>
    <w:p>
      <w:r>
        <w:t>_________________________________</w:t>
      </w:r>
    </w:p>
    <w:p>
      <w:r>
        <w:rPr>
          <w:b/>
        </w:rPr>
        <w:t>Name: {{FOUNDER_2_NAME}}</w:t>
      </w:r>
    </w:p>
    <w:p>
      <w:r>
        <w:t>Designation: {{FOUNDER_2_DESIGNATION}}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CAPITALISATION AND SUBSCRIPTION DETAILS</w:t>
      </w:r>
    </w:p>
    <w:p>
      <w:pPr>
        <w:spacing w:before="160" w:after="60"/>
      </w:pPr>
      <w:r>
        <w:rPr>
          <w:b/>
          <w:color w:val="002060"/>
          <w:sz w:val="23"/>
        </w:rPr>
        <w:t>Part A — Pre-Closing Capitalisation</w:t>
      </w:r>
    </w:p>
    <w:tbl>
      <w:tblPr>
        <w:tblW w:type="auto" w:w="0"/>
        <w:jc w:val="center"/>
        <w:tblLayout w:type="fixed"/>
        <w:tblLook w:firstColumn="1" w:firstRow="1" w:lastColumn="0" w:lastRow="0" w:noHBand="0" w:noVBand="1" w:val="04A0"/>
      </w:tblPr>
      <w:tblGrid>
        <w:gridCol w:w="3249"/>
        <w:gridCol w:w="3249"/>
        <w:gridCol w:w="3249"/>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Securities Held</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{{FOUNDER_1_PRE_SHARES}}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{{FOUNDER_1_PRE_PERCENT}}%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{{FOUNDER_2_PRE_SHARES}}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{{FOUNDER_2_PRE_PERCENT}}%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ESOP Pool (reserved)</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{{ESOP_PRE_SHARES}}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{{ESOP_PRE_PERCENT}}%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Existing Investors (if any)</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{{EXISTING_INV_SHARES}}</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{{EXISTING_INV_PERCENT}}%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Total Pre-Closing</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{{TOTAL_PRE_SHARES}}</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100%</w:t>
            </w:r>
          </w:p>
        </w:tc>
      </w:tr>
    </w:tbl>
    <w:p/>
    <w:p>
      <w:pPr>
        <w:spacing w:before="160" w:after="60"/>
      </w:pPr>
      <w:r>
        <w:rPr>
          <w:b/>
          <w:color w:val="002060"/>
          <w:sz w:val="23"/>
        </w:rPr>
        <w:t>Part B — Subscription Details</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Investor</w:t>
            </w:r>
          </w:p>
        </w:tc>
        <w:tc>
          <w:tcPr>
            <w:tcW w:type="dxa" w:w="113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Securities</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Securities</w:t>
            </w:r>
          </w:p>
        </w:tc>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Issue Price (₹)</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Subscription Amount (₹)</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Post-Closing %</w:t>
            </w:r>
          </w:p>
        </w:tc>
      </w:tr>
      <w:tr>
        <w:tc>
          <w:tcPr>
            <w:tcW w:type="dxa" w:w="1928"/>
            <w:tcBorders>
              <w:top w:val="single" w:sz="4" w:color="808080"/>
              <w:left w:val="single" w:sz="4" w:color="808080"/>
              <w:bottom w:val="single" w:sz="4" w:color="808080"/>
              <w:right w:val="single" w:sz="4" w:color="808080"/>
            </w:tcBorders>
            <w:vAlign w:val="center"/>
          </w:tcPr>
          <w:p>
            <w:pPr>
              <w:jc w:val="left"/>
            </w:pPr>
            <w:r/>
            <w:r>
              <w:rPr>
                <w:b/>
                <w:sz w:val="21"/>
              </w:rPr>
              <w:t>{{INVESTOR_1_NAME}}</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{{SECURITY_TYPE}}</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{{INV_1_SECURITIES}}</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{{ISSUE_PRICE_INR}}</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{{INV_1_SUBSCRIPTION}}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{{INV_1_POST_PERCENT}}%</w:t>
            </w:r>
          </w:p>
        </w:tc>
      </w:tr>
      <w:tr>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{{INVESTOR_2_NAME}}</w:t>
            </w:r>
          </w:p>
        </w:tc>
        <w:tc>
          <w:tcPr>
            <w:tcW w:type="dxa" w:w="113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{{SECURITY_TYPE}}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{{INV_2_SECURITIES}}</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{{ISSUE_PRICE_INR}}</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{{INV_2_SUBSCRIPTION}}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{{INV_2_POST_PERCENT}}%</w:t>
            </w:r>
          </w:p>
        </w:tc>
      </w:tr>
      <w:tr>
        <w:tc>
          <w:tcPr>
            <w:tcW w:type="dxa" w:w="1928"/>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1134"/>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{{TOTAL_SECURITIES}}</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{{TOTAL_SUBSCRIPTION}}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160" w:after="60"/>
      </w:pPr>
      <w:r>
        <w:rPr>
          <w:b/>
          <w:color w:val="002060"/>
          <w:sz w:val="23"/>
        </w:rPr>
        <w:t>Part C — Tranche Schedule (if applicable)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Trigger / Milestone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Target Date</w:t>
            </w:r>
          </w:p>
        </w:tc>
        <w:tc>
          <w:tcPr>
            <w:tcW w:type="dxa" w:w="249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 Amount (₹)</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Tranche 1 (at Closing)</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Fulfilment of CPs</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{{T1_DATE}}</w:t>
            </w:r>
          </w:p>
        </w:tc>
        <w:tc>
          <w:tcPr>
            <w:tcW w:type="dxa" w:w="2494"/>
            <w:tcBorders>
              <w:top w:val="single" w:sz="4" w:color="808080"/>
              <w:left w:val="single" w:sz="4" w:color="808080"/>
              <w:bottom w:val="single" w:sz="4" w:color="808080"/>
              <w:right w:val="single" w:sz="4" w:color="808080"/>
            </w:tcBorders>
            <w:vAlign w:val="center"/>
          </w:tcPr>
          <w:p>
            <w:pPr>
              <w:jc w:val="left"/>
            </w:pPr>
            <w:r/>
            <w:r>
              <w:rPr>
                <w:sz w:val="21"/>
              </w:rPr>
              <w:t>{{T1_AMOUNT}}</w:t>
            </w:r>
          </w:p>
        </w:tc>
      </w:tr>
      <w:tr>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Tranche 2</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{{T2_MILESTONE}}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{{T2_DATE}}</w:t>
            </w:r>
          </w:p>
        </w:tc>
        <w:tc>
          <w:tcPr>
            <w:tcW w:type="dxa" w:w="249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{{T2_AMOUNT}}</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Tranche 3</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{{T3_MILESTONE}}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{{T3_DATE}}</w:t>
            </w:r>
          </w:p>
        </w:tc>
        <w:tc>
          <w:tcPr>
            <w:tcW w:type="dxa" w:w="2494"/>
            <w:tcBorders>
              <w:top w:val="single" w:sz="4" w:color="808080"/>
              <w:left w:val="single" w:sz="4" w:color="808080"/>
              <w:bottom w:val="single" w:sz="4" w:color="808080"/>
              <w:right w:val="single" w:sz="4" w:color="808080"/>
            </w:tcBorders>
            <w:vAlign w:val="center"/>
          </w:tcPr>
          <w:p>
            <w:pPr>
              <w:jc w:val="left"/>
            </w:pPr>
            <w:r/>
            <w:r>
              <w:rPr>
                <w:sz w:val="21"/>
              </w:rPr>
              <w:t>{{T3_AMOUNT}}</w:t>
            </w:r>
          </w:p>
        </w:tc>
      </w:tr>
    </w:tbl>
    <w:p/>
    <w:p>
      <w:pPr>
        <w:spacing w:before="160" w:after="60"/>
      </w:pPr>
      <w:r>
        <w:rPr>
          <w:b/>
          <w:color w:val="002060"/>
          <w:sz w:val="23"/>
        </w:rPr>
        <w:t>Part D — Post-Closing Capitalisation (Fully Diluted)</w:t>
      </w:r>
    </w:p>
    <w:tbl>
      <w:tblPr>
        <w:tblW w:type="auto" w:w="0"/>
        <w:jc w:val="center"/>
        <w:tblLayout w:type="fixed"/>
        <w:tblLook w:firstColumn="1" w:firstRow="1" w:lastColumn="0" w:lastRow="0" w:noHBand="0" w:noVBand="1" w:val="04A0"/>
      </w:tblPr>
      <w:tblGrid>
        <w:gridCol w:w="3249"/>
        <w:gridCol w:w="3249"/>
        <w:gridCol w:w="3249"/>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Securities</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(FD)</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Founders</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{{FOUNDERS_POST_SHARES}}</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{{FOUNDERS_POST_PERCENT}}%</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ESOP Pool</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{{ESOP_POST_SHARES}}</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{{ESOP_POST_PERCENT}}%</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Existing Investors</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{{EXISTING_INV_POST_SHARES}}</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{{EXISTING_INV_POST_PERCENT}}%</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New Investors (this round)</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{{TOTAL_SECURITIES}}</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{{NEW_INV_POST_PERCENT}}%</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Total Post-Closing</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{{TOTAL_POST_SHARES}}</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100%</w:t>
            </w:r>
          </w:p>
        </w:tc>
      </w:tr>
    </w:tbl>
    <w:p/>
    <w:p>
      <w:r>
        <w:br w:type="page"/>
      </w:r>
    </w:p>
    <w:p>
      <w:pPr>
        <w:spacing w:before="240" w:after="80"/>
        <w:pBdr>
          <w:bottom w:val="single" w:sz="6" w:space="1" w:color="002060"/>
        </w:pBdr>
      </w:pPr>
      <w:r>
        <w:rPr>
          <w:b/>
          <w:color w:val="002060"/>
          <w:sz w:val="25"/>
        </w:rPr>
        <w:t>SCHEDULE 2 — CONDITIONS PRECEDENT</w:t>
      </w:r>
    </w:p>
    <w:p>
      <w:pPr>
        <w:pStyle w:val="ListBullet"/>
        <w:spacing w:after="40"/>
        <w:ind w:left="567"/>
        <w:jc w:val="both"/>
      </w:pPr>
      <w:r>
        <w:t>Completion of legal, financial, tax, business and technical due diligence by the Lead Investor, with findings to its satisfaction.</w:t>
      </w:r>
    </w:p>
    <w:p>
      <w:pPr>
        <w:pStyle w:val="ListBullet"/>
        <w:spacing w:after="40"/>
        <w:ind w:left="567"/>
        <w:jc w:val="both"/>
      </w:pPr>
      <w:r>
        <w:t>Board of Directors of the Company having approved (i) execution of the Transaction Documents; (ii) issuance and allotment of the Subscription Securities; (iii) amendment of the Articles of Association; (iv) constitution of an ESOP Pool of {{ESOP_POOL_PERCENT}}%; (v) appointment of {{INVESTOR_NOMINEE_COUNT}} Investor nominee director(s); and (vi) convening of an EGM / postal ballot for shareholder approvals.</w:t>
      </w:r>
    </w:p>
    <w:p>
      <w:pPr>
        <w:pStyle w:val="ListBullet"/>
        <w:spacing w:after="40"/>
        <w:ind w:left="567"/>
        <w:jc w:val="both"/>
      </w:pPr>
      <w:r>
        <w:t>Shareholders of the Company having approved by Special Resolution (i) the amendment of the Articles to incorporate Investor rights; (ii) increase in authorised share capital (if required); (iii) issuance of Subscription Securities under Section 42 / 62 of the Act on private placement / preferential allotment basis; and (iv) any other related matter.</w:t>
      </w:r>
    </w:p>
    <w:p>
      <w:pPr>
        <w:pStyle w:val="ListBullet"/>
        <w:spacing w:after="40"/>
        <w:ind w:left="567"/>
        <w:jc w:val="both"/>
      </w:pPr>
      <w:r>
        <w:t>Filing of Form MGT-14 with the RoC within 30 days of the Special Resolution.</w:t>
      </w:r>
    </w:p>
    <w:p>
      <w:pPr>
        <w:pStyle w:val="ListBullet"/>
        <w:spacing w:after="40"/>
        <w:ind w:left="567"/>
        <w:jc w:val="both"/>
      </w:pPr>
      <w:r>
        <w:t>Receipt of valuation report from a Registered Valuer under Section 247 of the Act (and a Chartered Accountant report on DCF basis for non-resident Investors under FEMA NDI Rules, 2019).</w:t>
      </w:r>
    </w:p>
    <w:p>
      <w:pPr>
        <w:pStyle w:val="ListBullet"/>
        <w:spacing w:after="40"/>
        <w:ind w:left="567"/>
        <w:jc w:val="both"/>
      </w:pPr>
      <w:r>
        <w:t>Execution of the Investor Rights Agreement / Shareholders’ Agreement and the amended Articles of Association.</w:t>
      </w:r>
    </w:p>
    <w:p>
      <w:pPr>
        <w:pStyle w:val="ListBullet"/>
        <w:spacing w:after="40"/>
        <w:ind w:left="567"/>
        <w:jc w:val="both"/>
      </w:pPr>
      <w:r>
        <w:t>Execution of the Founders’ IP Assignment Deed and updated employment agreements of all key personnel (with IP assignment, confidentiality and non-solicit clauses).</w:t>
      </w:r>
    </w:p>
    <w:p>
      <w:pPr>
        <w:pStyle w:val="ListBullet"/>
        <w:spacing w:after="40"/>
        <w:ind w:left="567"/>
        <w:jc w:val="both"/>
      </w:pPr>
      <w:r>
        <w:t>Founder lock-in and reverse-vesting arrangements being put in place, on the terms set out in the IRA.</w:t>
      </w:r>
    </w:p>
    <w:p>
      <w:pPr>
        <w:pStyle w:val="ListBullet"/>
        <w:spacing w:after="40"/>
        <w:ind w:left="567"/>
        <w:jc w:val="both"/>
      </w:pPr>
      <w:r>
        <w:t>Conversion of any existing convertible instruments (SAFEs, CCDs etc.) on the agreed terms.</w:t>
      </w:r>
    </w:p>
    <w:p>
      <w:pPr>
        <w:pStyle w:val="ListBullet"/>
        <w:spacing w:after="40"/>
        <w:ind w:left="567"/>
        <w:jc w:val="both"/>
      </w:pPr>
      <w:r>
        <w:t>Receipt of no-objection certificates from existing lenders, key customers, suppliers and regulatory authorities where required by contract or law.</w:t>
      </w:r>
    </w:p>
    <w:p>
      <w:pPr>
        <w:pStyle w:val="ListBullet"/>
        <w:spacing w:after="40"/>
        <w:ind w:left="567"/>
        <w:jc w:val="both"/>
      </w:pPr>
      <w:r>
        <w:t>Settlement of all material related-party transactions, employee dues, statutory dues and litigation as flagged in the DD reports.</w:t>
      </w:r>
    </w:p>
    <w:p>
      <w:pPr>
        <w:pStyle w:val="ListBullet"/>
        <w:spacing w:after="40"/>
        <w:ind w:left="567"/>
        <w:jc w:val="both"/>
      </w:pPr>
      <w:r>
        <w:t>Tax and FEMA confirmations including, where applicable, RBI / NCLT / CCI approvals, FATCA / CRS / KYC documentation, sectoral cap compliance, and pricing guidelines compliance.</w:t>
      </w:r>
    </w:p>
    <w:p>
      <w:pPr>
        <w:pStyle w:val="ListBullet"/>
        <w:spacing w:after="40"/>
        <w:ind w:left="567"/>
        <w:jc w:val="both"/>
      </w:pPr>
      <w:r>
        <w:t>Absence of any Material Adverse Effect between the date of this Agreement and Closing.</w:t>
      </w:r>
    </w:p>
    <w:p>
      <w:pPr>
        <w:pStyle w:val="ListBullet"/>
        <w:spacing w:after="40"/>
        <w:ind w:left="567"/>
        <w:jc w:val="both"/>
      </w:pPr>
      <w:r>
        <w:t>Delivery of a Disclosure Letter (if any) acceptable to the Lead Investor.</w:t>
      </w:r>
    </w:p>
    <w:p>
      <w:pPr>
        <w:pStyle w:val="ListBullet"/>
        <w:spacing w:after="40"/>
        <w:ind w:left="567"/>
        <w:jc w:val="both"/>
      </w:pPr>
      <w:r>
        <w:t>Delivery of a closing certificate confirming accuracy of Warranties and fulfilment of CPs.</w:t>
      </w:r>
    </w:p>
    <w:p>
      <w:r>
        <w:br w:type="page"/>
      </w:r>
    </w:p>
    <w:p>
      <w:pPr>
        <w:spacing w:before="240" w:after="80"/>
        <w:pBdr>
          <w:bottom w:val="single" w:sz="6" w:space="1" w:color="002060"/>
        </w:pBdr>
      </w:pPr>
      <w:r>
        <w:rPr>
          <w:b/>
          <w:color w:val="002060"/>
          <w:sz w:val="25"/>
        </w:rPr>
        <w:t>SCHEDULE 3 — CONDITIONS SUBSEQUENT</w:t>
      </w:r>
    </w:p>
    <w:p>
      <w:pPr>
        <w:pStyle w:val="ListBullet"/>
        <w:spacing w:after="40"/>
        <w:ind w:left="567"/>
        <w:jc w:val="both"/>
      </w:pPr>
      <w:r>
        <w:t>Filing of Form PAS-3 with the RoC within 30 days of allotment under Section 39(4) of the Act.</w:t>
      </w:r>
    </w:p>
    <w:p>
      <w:pPr>
        <w:pStyle w:val="ListBullet"/>
        <w:spacing w:after="40"/>
        <w:ind w:left="567"/>
        <w:jc w:val="both"/>
      </w:pPr>
      <w:r>
        <w:t>Filing of Form FC-GPR with the AD Bank within 30 days of allotment (for non-resident Investors), under Regulation 4 of the FEMA NDI Rules, 2019.</w:t>
      </w:r>
    </w:p>
    <w:p>
      <w:pPr>
        <w:pStyle w:val="ListBullet"/>
        <w:spacing w:after="40"/>
        <w:ind w:left="567"/>
        <w:jc w:val="both"/>
      </w:pPr>
      <w:r>
        <w:t>Issuance of share certificates / DEMAT credit to the Investors within timelines prescribed under Section 56(4) of the Act.</w:t>
      </w:r>
    </w:p>
    <w:p>
      <w:pPr>
        <w:pStyle w:val="ListBullet"/>
        <w:spacing w:after="40"/>
        <w:ind w:left="567"/>
        <w:jc w:val="both"/>
      </w:pPr>
      <w:r>
        <w:t>Updating the Register of Members under Section 88 and the Register of Charges (if any) under Section 85 of the Act.</w:t>
      </w:r>
    </w:p>
    <w:p>
      <w:pPr>
        <w:pStyle w:val="ListBullet"/>
        <w:spacing w:after="40"/>
        <w:ind w:left="567"/>
        <w:jc w:val="both"/>
      </w:pPr>
      <w:r>
        <w:t>Update of the statutory disclosures of beneficial ownership under Section 90 / Rules where applicable.</w:t>
      </w:r>
    </w:p>
    <w:p>
      <w:pPr>
        <w:pStyle w:val="ListBullet"/>
        <w:spacing w:after="40"/>
        <w:ind w:left="567"/>
        <w:jc w:val="both"/>
      </w:pPr>
      <w:r>
        <w:t>Implementation of any agreed governance changes (D&amp;O insurance, finance controls, board calendar, committees) within {{CS_GOVERNANCE_DAYS}} days.</w:t>
      </w:r>
    </w:p>
    <w:p>
      <w:pPr>
        <w:pStyle w:val="ListBullet"/>
        <w:spacing w:after="40"/>
        <w:ind w:left="567"/>
        <w:jc w:val="both"/>
      </w:pPr>
      <w:r>
        <w:t>Closure of legacy obligations identified in the Disclosure Letter within the agreed timelines.</w:t>
      </w:r>
    </w:p>
    <w:p>
      <w:pPr>
        <w:pStyle w:val="ListBullet"/>
        <w:spacing w:after="40"/>
        <w:ind w:left="567"/>
        <w:jc w:val="both"/>
      </w:pPr>
      <w:r>
        <w:t>Where applicable, intimation to GST / income-tax / labour authorities of change in shareholding.</w:t>
      </w:r>
    </w:p>
    <w:p>
      <w:r>
        <w:br w:type="page"/>
      </w:r>
    </w:p>
    <w:p>
      <w:pPr>
        <w:spacing w:before="240" w:after="80"/>
        <w:pBdr>
          <w:bottom w:val="single" w:sz="6" w:space="1" w:color="002060"/>
        </w:pBdr>
      </w:pPr>
      <w:r>
        <w:rPr>
          <w:b/>
          <w:color w:val="002060"/>
          <w:sz w:val="25"/>
        </w:rPr>
        <w:t>SCHEDULE 4 — REPRESENTATIONS AND WARRANTIES</w:t>
      </w:r>
    </w:p>
    <w:p>
      <w:pPr>
        <w:spacing w:before="160" w:after="60"/>
      </w:pPr>
      <w:r>
        <w:rPr>
          <w:b/>
          <w:color w:val="002060"/>
          <w:sz w:val="23"/>
        </w:rPr>
        <w:t>Part A — Warranties of the Company and Founders</w:t>
      </w:r>
    </w:p>
    <w:p>
      <w:pPr>
        <w:pStyle w:val="ListBullet"/>
        <w:spacing w:after="40"/>
        <w:ind w:left="567"/>
        <w:jc w:val="both"/>
      </w:pPr>
      <w:r>
        <w:t>Organisation, due incorporation and good standing of the Company; due execution and validity of the Transaction Documents.</w:t>
      </w:r>
    </w:p>
    <w:p>
      <w:pPr>
        <w:pStyle w:val="ListBullet"/>
        <w:spacing w:after="40"/>
        <w:ind w:left="567"/>
        <w:jc w:val="both"/>
      </w:pPr>
      <w:r>
        <w:t>Capitalisation: cap table is accurate; no outstanding options, warrants, convertibles or agreements other than as disclosed.</w:t>
      </w:r>
    </w:p>
    <w:p>
      <w:pPr>
        <w:pStyle w:val="ListBullet"/>
        <w:spacing w:after="40"/>
        <w:ind w:left="567"/>
        <w:jc w:val="both"/>
      </w:pPr>
      <w:r>
        <w:t>Subsidiaries: complete and accurate list, with capitalisation and good standing of each.</w:t>
      </w:r>
    </w:p>
    <w:p>
      <w:pPr>
        <w:pStyle w:val="ListBullet"/>
        <w:spacing w:after="40"/>
        <w:ind w:left="567"/>
        <w:jc w:val="both"/>
      </w:pPr>
      <w:r>
        <w:t>Financial Statements prepared in accordance with Ind AS / AS; true and fair view; no undisclosed liabilities; no MAE since last audited balance sheet.</w:t>
      </w:r>
    </w:p>
    <w:p>
      <w:pPr>
        <w:pStyle w:val="ListBullet"/>
        <w:spacing w:after="40"/>
        <w:ind w:left="567"/>
        <w:jc w:val="both"/>
      </w:pPr>
      <w:r>
        <w:t>Tax: all returns filed; all taxes paid or provided; no ongoing tax disputes save as disclosed; no transfer pricing adjustments; no withholding defaults.</w:t>
      </w:r>
    </w:p>
    <w:p>
      <w:pPr>
        <w:pStyle w:val="ListBullet"/>
        <w:spacing w:after="40"/>
        <w:ind w:left="567"/>
        <w:jc w:val="both"/>
      </w:pPr>
      <w:r>
        <w:t>Compliance with Applicable Law: Companies Act, FEMA, SEBI (if applicable), GST, Customs, Income-tax, labour laws (EPF, ESI, Bonus, Gratuity, POSH), environmental laws, sector-specific licenses.</w:t>
      </w:r>
    </w:p>
    <w:p>
      <w:pPr>
        <w:pStyle w:val="ListBullet"/>
        <w:spacing w:after="40"/>
        <w:ind w:left="567"/>
        <w:jc w:val="both"/>
      </w:pPr>
      <w:r>
        <w:t>Intellectual Property: ownership, no infringement, no claims; all founder/employee/consultant IP fully assigned to the Company; open-source software usage scrubbed; no IP held in personal names.</w:t>
      </w:r>
    </w:p>
    <w:p>
      <w:pPr>
        <w:pStyle w:val="ListBullet"/>
        <w:spacing w:after="40"/>
        <w:ind w:left="567"/>
        <w:jc w:val="both"/>
      </w:pPr>
      <w:r>
        <w:t>Material Contracts: complete list disclosed; valid and enforceable; no defaults; no change-of-control triggers (or all consents obtained); no exclusivity that prevents Investors’ business plans.</w:t>
      </w:r>
    </w:p>
    <w:p>
      <w:pPr>
        <w:pStyle w:val="ListBullet"/>
        <w:spacing w:after="40"/>
        <w:ind w:left="567"/>
        <w:jc w:val="both"/>
      </w:pPr>
      <w:r>
        <w:t>Litigation: complete list of pending / threatened proceedings disclosed; no order restraining the transaction.</w:t>
      </w:r>
    </w:p>
    <w:p>
      <w:pPr>
        <w:pStyle w:val="ListBullet"/>
        <w:spacing w:after="40"/>
        <w:ind w:left="567"/>
        <w:jc w:val="both"/>
      </w:pPr>
      <w:r>
        <w:t>Properties &amp; Assets: title to material assets clear; no Encumbrances save as disclosed; lease agreements valid.</w:t>
      </w:r>
    </w:p>
    <w:p>
      <w:pPr>
        <w:pStyle w:val="ListBullet"/>
        <w:spacing w:after="40"/>
        <w:ind w:left="567"/>
        <w:jc w:val="both"/>
      </w:pPr>
      <w:r>
        <w:t>Employees: payroll, benefits, statutory contributions all up-to-date; no ongoing industrial disputes; POSH compliance.</w:t>
      </w:r>
    </w:p>
    <w:p>
      <w:pPr>
        <w:pStyle w:val="ListBullet"/>
        <w:spacing w:after="40"/>
        <w:ind w:left="567"/>
        <w:jc w:val="both"/>
      </w:pPr>
      <w:r>
        <w:t>Data Privacy: compliance with the Digital Personal Data Protection Act, 2023 (where in force) and the IT Act, 2000 + IT (Reasonable Security Practices) Rules, 2011.</w:t>
      </w:r>
    </w:p>
    <w:p>
      <w:pPr>
        <w:pStyle w:val="ListBullet"/>
        <w:spacing w:after="40"/>
        <w:ind w:left="567"/>
        <w:jc w:val="both"/>
      </w:pPr>
      <w:r>
        <w:t>Anti-Bribery / PMLA: no violations of the Prevention of Corruption Act, 1988 or the Prevention of Money Laundering Act, 2002.</w:t>
      </w:r>
    </w:p>
    <w:p>
      <w:pPr>
        <w:pStyle w:val="ListBullet"/>
        <w:spacing w:after="40"/>
        <w:ind w:left="567"/>
        <w:jc w:val="both"/>
      </w:pPr>
      <w:r>
        <w:t>Insurance: adequate coverage maintained; no material claims pending.</w:t>
      </w:r>
    </w:p>
    <w:p>
      <w:pPr>
        <w:pStyle w:val="ListBullet"/>
        <w:spacing w:after="40"/>
        <w:ind w:left="567"/>
        <w:jc w:val="both"/>
      </w:pPr>
      <w:r>
        <w:t>Information Memorandum / Disclosures: all information provided to the Investors during DD is true, complete and not misleading.</w:t>
      </w:r>
    </w:p>
    <w:p>
      <w:pPr>
        <w:pStyle w:val="ListBullet"/>
        <w:spacing w:after="40"/>
        <w:ind w:left="567"/>
        <w:jc w:val="both"/>
      </w:pPr>
      <w:r>
        <w:t>Founders’ Personal Warranties: legal capacity, no prior criminal conviction, no disqualification, no wilful-defaulter / fugitive-economic-offender status, full-time commitment, no conflict of interest, all IP assigned.</w:t>
      </w:r>
    </w:p>
    <w:p>
      <w:pPr>
        <w:pStyle w:val="ListBullet"/>
        <w:spacing w:after="40"/>
        <w:ind w:left="567"/>
        <w:jc w:val="both"/>
      </w:pPr>
      <w:r>
        <w:t>Fundamental Warranties (uncapped / longer survival): organisation, authority, capitalisation, title to shares, no insolvency, anti-bribery / PMLA.</w:t>
      </w:r>
    </w:p>
    <w:p>
      <w:pPr>
        <w:spacing w:before="160" w:after="60"/>
      </w:pPr>
      <w:r>
        <w:rPr>
          <w:b/>
          <w:color w:val="002060"/>
          <w:sz w:val="23"/>
        </w:rPr>
        <w:t>Part B — Warranties of the Investor</w:t>
      </w:r>
    </w:p>
    <w:p>
      <w:pPr>
        <w:pStyle w:val="ListBullet"/>
        <w:spacing w:after="40"/>
        <w:ind w:left="567"/>
        <w:jc w:val="both"/>
      </w:pPr>
      <w:r>
        <w:t>Due organisation and good standing.</w:t>
      </w:r>
    </w:p>
    <w:p>
      <w:pPr>
        <w:pStyle w:val="ListBullet"/>
        <w:spacing w:after="40"/>
        <w:ind w:left="567"/>
        <w:jc w:val="both"/>
      </w:pPr>
      <w:r>
        <w:t>Power and authority to execute and perform this Agreement; binding obligations.</w:t>
      </w:r>
    </w:p>
    <w:p>
      <w:pPr>
        <w:pStyle w:val="ListBullet"/>
        <w:spacing w:after="40"/>
        <w:ind w:left="567"/>
        <w:jc w:val="both"/>
      </w:pPr>
      <w:r>
        <w:t>No conflict with constitutional documents or material contracts.</w:t>
      </w:r>
    </w:p>
    <w:p>
      <w:pPr>
        <w:pStyle w:val="ListBullet"/>
        <w:spacing w:after="40"/>
        <w:ind w:left="567"/>
        <w:jc w:val="both"/>
      </w:pPr>
      <w:r>
        <w:t>Lawful source of subscription funds; compliance with anti-money-laundering laws.</w:t>
      </w:r>
    </w:p>
    <w:p>
      <w:pPr>
        <w:pStyle w:val="ListBullet"/>
        <w:spacing w:after="40"/>
        <w:ind w:left="567"/>
        <w:jc w:val="both"/>
      </w:pPr>
      <w:r>
        <w:t>(For non-resident Investors) compliance with FEMA NDI Rules, 2019 (including sectoral caps, pricing guidelines, prohibited sectors); FATCA / CRS classification correctly disclosed; not from a country sharing a land border with India unless approved under Press Note 3 / 2020 (where applicable).</w:t>
      </w:r>
    </w:p>
    <w:p>
      <w:pPr>
        <w:pStyle w:val="ListBullet"/>
        <w:spacing w:after="40"/>
        <w:ind w:left="567"/>
        <w:jc w:val="both"/>
      </w:pPr>
      <w:r>
        <w:t>No insolvency or winding-up proceedings.</w:t>
      </w:r>
    </w:p>
    <w:p>
      <w:pPr>
        <w:pStyle w:val="ListBullet"/>
        <w:spacing w:after="40"/>
        <w:ind w:left="567"/>
        <w:jc w:val="both"/>
      </w:pPr>
      <w:r>
        <w:t>Acknowledgement of receipt and review of all DD materials and the Disclosure Letter.</w:t>
      </w:r>
    </w:p>
    <w:p>
      <w:r>
        <w:br w:type="page"/>
      </w:r>
    </w:p>
    <w:p>
      <w:pPr>
        <w:spacing w:before="240" w:after="80"/>
        <w:pBdr>
          <w:bottom w:val="single" w:sz="6" w:space="1" w:color="002060"/>
        </w:pBdr>
      </w:pPr>
      <w:r>
        <w:rPr>
          <w:b/>
          <w:color w:val="002060"/>
          <w:sz w:val="25"/>
        </w:rPr>
        <w:t>SCHEDULE 5 — USE OF PROCEEDS</w:t>
      </w:r>
    </w:p>
    <w:tbl>
      <w:tblPr>
        <w:tblW w:type="auto" w:w="0"/>
        <w:jc w:val="center"/>
        <w:tblLayout w:type="fixed"/>
        <w:tblLook w:firstColumn="1" w:firstRow="1" w:lastColumn="0" w:lastRow="0" w:noHBand="0" w:noVBand="1" w:val="04A0"/>
      </w:tblPr>
      <w:tblGrid>
        <w:gridCol w:w="3249"/>
        <w:gridCol w:w="3249"/>
        <w:gridCol w:w="3249"/>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Head</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of Subscription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Product / Engineering hiring</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{{UOP_PROD_AMOUNT}}</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{{UOP_PROD_PERCENT}}%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Sales &amp; Marketing</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{{UOP_SM_AMOUNT}}</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{{UOP_SM_PERCENT}}%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G&amp;A / Operations</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{{UOP_GA_AMOUNT}}</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{{UOP_GA_PERCENT}}%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Capital Expenditure</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{{UOP_CAPEX_AMOUNT}}</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{{UOP_CAPEX_PERCENT}}%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Working Capital</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{{UOP_WC_AMOUNT}}</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{{UOP_WC_PERCENT}}%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(specify)</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{{UOP_OTHER_AMOUNT}}</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{{UOP_OTHER_PERCENT}}%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{{TOTAL_SUBSCRIPTION}}</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100%</w:t>
            </w:r>
          </w:p>
        </w:tc>
      </w:tr>
    </w:tbl>
    <w:p/>
    <w:p>
      <w:pPr>
        <w:jc w:val="both"/>
      </w:pPr>
      <w:r>
        <w:rPr>
          <w:b w:val="0"/>
          <w:i w:val="0"/>
        </w:rPr>
        <w:t>Permitted Use Restrictions: The Subscription Amount shall NOT be used (a) to repay loans/dues to Founders or related parties; (b) to acquire equity in any Affiliate; (c) for activities outside the approved Business Plan; or (d) for any purpose prohibited by Applicable Law.</w:t>
      </w:r>
    </w:p>
    <w:p>
      <w:r>
        <w:br w:type="page"/>
      </w:r>
    </w:p>
    <w:p>
      <w:pPr>
        <w:spacing w:before="240" w:after="80"/>
        <w:pBdr>
          <w:bottom w:val="single" w:sz="6" w:space="1" w:color="002060"/>
        </w:pBdr>
      </w:pPr>
      <w:r>
        <w:rPr>
          <w:b/>
          <w:color w:val="002060"/>
          <w:sz w:val="25"/>
        </w:rPr>
        <w:t>SCHEDULE 6 — CONVERSION &amp; ANTI-DILUTION MECHANICS (for CCPS / CCDs)</w:t>
      </w:r>
    </w:p>
    <w:p>
      <w:pPr>
        <w:pStyle w:val="ListBullet"/>
        <w:spacing w:after="40"/>
        <w:ind w:left="567"/>
        <w:jc w:val="both"/>
      </w:pPr>
      <w:r>
        <w:t>Initial Conversion Ratio: 1 (one) CCPS / CCD shall convert into 1 (one) Equity Share, subject to adjustments below.</w:t>
      </w:r>
    </w:p>
    <w:p>
      <w:pPr>
        <w:pStyle w:val="ListBullet"/>
        <w:spacing w:after="40"/>
        <w:ind w:left="567"/>
        <w:jc w:val="both"/>
      </w:pPr>
      <w:r>
        <w:t>Anti-dilution Adjustment (Down-round): {{ANTI_DIL_METHOD}} (Broad-Based Weighted Average / Narrow-Based Weighted Average / Full Ratchet).</w:t>
      </w:r>
    </w:p>
    <w:p>
      <w:pPr>
        <w:pStyle w:val="ListBullet"/>
        <w:spacing w:after="40"/>
        <w:ind w:left="567"/>
        <w:jc w:val="both"/>
      </w:pPr>
      <w:r>
        <w:t>Adjustment for stock splits, consolidations, bonus issues, rights issues — proportionate adjustment to conversion ratio and conversion price.</w:t>
      </w:r>
    </w:p>
    <w:p>
      <w:pPr>
        <w:pStyle w:val="ListBullet"/>
        <w:spacing w:after="40"/>
        <w:ind w:left="567"/>
        <w:jc w:val="both"/>
      </w:pPr>
      <w:r>
        <w:t>Mandatory Conversion: on the earlier of (a) {{MANDATORY_CONVERSION_YEARS}} years from issue; (b) IPO; (c) Liquidation Event; (d) such other event as agreed in the IRA.</w:t>
      </w:r>
    </w:p>
    <w:p>
      <w:pPr>
        <w:pStyle w:val="ListBullet"/>
        <w:spacing w:after="40"/>
        <w:ind w:left="567"/>
        <w:jc w:val="both"/>
      </w:pPr>
      <w:r>
        <w:t>Voluntary Conversion: at the option of the Investor at any time.</w:t>
      </w:r>
    </w:p>
    <w:p>
      <w:pPr>
        <w:pStyle w:val="ListBullet"/>
        <w:spacing w:after="40"/>
        <w:ind w:left="567"/>
        <w:jc w:val="both"/>
      </w:pPr>
      <w:r>
        <w:t>Statutory limits: CCPS conversion within 20 years (Section 55 of the Act); CCDs to be fully convertible at issue (else qualify as ECB if foreign-sourced).</w:t>
      </w:r>
    </w:p>
    <w:p>
      <w:pPr>
        <w:pStyle w:val="ListBullet"/>
        <w:spacing w:after="40"/>
        <w:ind w:left="567"/>
        <w:jc w:val="both"/>
      </w:pPr>
      <w:r>
        <w:t>Pricing on Conversion: floor at fair value under FEMA NDI Rules, 2019 (for non-resident Investors) and Rule 11UA of Income-tax Rules, 1962.</w:t>
      </w:r>
    </w:p>
    <w:p>
      <w:r>
        <w:br w:type="page"/>
      </w:r>
    </w:p>
    <w:p>
      <w:pPr>
        <w:spacing w:before="240" w:after="80"/>
        <w:pBdr>
          <w:bottom w:val="single" w:sz="6" w:space="1" w:color="002060"/>
        </w:pBdr>
      </w:pPr>
      <w:r>
        <w:rPr>
          <w:b/>
          <w:color w:val="002060"/>
          <w:sz w:val="25"/>
        </w:rPr>
        <w:t>SCHEDULE 7 — RIGHTS AND PREFERENCES OF SUBSCRIPTION SECURITIES</w:t>
      </w:r>
    </w:p>
    <w:p>
      <w:pPr>
        <w:spacing w:before="160" w:after="60"/>
      </w:pPr>
      <w:r>
        <w:rPr>
          <w:b/>
          <w:color w:val="002060"/>
          <w:sz w:val="23"/>
        </w:rPr>
        <w:t>Economic Rights</w:t>
      </w:r>
    </w:p>
    <w:p>
      <w:pPr>
        <w:pStyle w:val="ListBullet"/>
        <w:spacing w:after="40"/>
        <w:ind w:left="567"/>
        <w:jc w:val="both"/>
      </w:pPr>
      <w:r>
        <w:t>Preferential Dividend: cumulative / non-cumulative coupon of {{COUPON_PERCENT}}% per annum.</w:t>
      </w:r>
    </w:p>
    <w:p>
      <w:pPr>
        <w:pStyle w:val="ListBullet"/>
        <w:spacing w:after="40"/>
        <w:ind w:left="567"/>
        <w:jc w:val="both"/>
      </w:pPr>
      <w:r>
        <w:t>Liquidation Preference: {{LIQ_PREF_MULTIPLE}}x non-participating / participating (capped at {{LIQ_PREF_CAP_MULTIPLE}}x), with priority over Equity Shares.</w:t>
      </w:r>
    </w:p>
    <w:p>
      <w:pPr>
        <w:pStyle w:val="ListBullet"/>
        <w:spacing w:after="40"/>
        <w:ind w:left="567"/>
        <w:jc w:val="both"/>
      </w:pPr>
      <w:r>
        <w:t>Anti-dilution Protection: {{ANTI_DIL_METHOD}}.</w:t>
      </w:r>
    </w:p>
    <w:p>
      <w:pPr>
        <w:pStyle w:val="ListBullet"/>
        <w:spacing w:after="40"/>
        <w:ind w:left="567"/>
        <w:jc w:val="both"/>
      </w:pPr>
      <w:r>
        <w:t>Pro-rata Right in Future Rounds (pre-emptive): yes, with cut-off at {{PRO_RATA_CUTOFF_PERCENT}}%.</w:t>
      </w:r>
    </w:p>
    <w:p>
      <w:pPr>
        <w:spacing w:before="160" w:after="60"/>
      </w:pPr>
      <w:r>
        <w:rPr>
          <w:b/>
          <w:color w:val="002060"/>
          <w:sz w:val="23"/>
        </w:rPr>
        <w:t>Governance Rights</w:t>
      </w:r>
    </w:p>
    <w:p>
      <w:pPr>
        <w:pStyle w:val="ListBullet"/>
        <w:spacing w:after="40"/>
        <w:ind w:left="567"/>
        <w:jc w:val="both"/>
      </w:pPr>
      <w:r>
        <w:t>Board Nomination: {{INVESTOR_NOMINEE_COUNT}} director(s) so long as Investor holds ≥ {{BOARD_THRESHOLD_PERCENT}}%.</w:t>
      </w:r>
    </w:p>
    <w:p>
      <w:pPr>
        <w:pStyle w:val="ListBullet"/>
        <w:spacing w:after="40"/>
        <w:ind w:left="567"/>
        <w:jc w:val="both"/>
      </w:pPr>
      <w:r>
        <w:t>Board Observer: 1 observer.</w:t>
      </w:r>
    </w:p>
    <w:p>
      <w:pPr>
        <w:pStyle w:val="ListBullet"/>
        <w:spacing w:after="40"/>
        <w:ind w:left="567"/>
        <w:jc w:val="both"/>
      </w:pPr>
      <w:r>
        <w:t>Quorum requirement to include Investor nominee for material decisions.</w:t>
      </w:r>
    </w:p>
    <w:p>
      <w:pPr>
        <w:pStyle w:val="ListBullet"/>
        <w:spacing w:after="40"/>
        <w:ind w:left="567"/>
        <w:jc w:val="both"/>
      </w:pPr>
      <w:r>
        <w:t>Reserved Matters / Affirmative Voting: as per Schedule 4 to the IRA.</w:t>
      </w:r>
    </w:p>
    <w:p>
      <w:pPr>
        <w:pStyle w:val="ListBullet"/>
        <w:spacing w:after="40"/>
        <w:ind w:left="567"/>
        <w:jc w:val="both"/>
      </w:pPr>
      <w:r>
        <w:t>Information Rights: monthly MIS, quarterly unaudited financials, annual audited financials, annual business plan, customary inspection rights.</w:t>
      </w:r>
    </w:p>
    <w:p>
      <w:pPr>
        <w:spacing w:before="160" w:after="60"/>
      </w:pPr>
      <w:r>
        <w:rPr>
          <w:b/>
          <w:color w:val="002060"/>
          <w:sz w:val="23"/>
        </w:rPr>
        <w:t>Transfer Rights</w:t>
      </w:r>
    </w:p>
    <w:p>
      <w:pPr>
        <w:pStyle w:val="ListBullet"/>
        <w:spacing w:after="40"/>
        <w:ind w:left="567"/>
        <w:jc w:val="both"/>
      </w:pPr>
      <w:r>
        <w:t>Founder Lock-in: {{FOUNDER_LOCK_IN_YEARS}} years.</w:t>
      </w:r>
    </w:p>
    <w:p>
      <w:pPr>
        <w:pStyle w:val="ListBullet"/>
        <w:spacing w:after="40"/>
        <w:ind w:left="567"/>
        <w:jc w:val="both"/>
      </w:pPr>
      <w:r>
        <w:t>Right of First Refusal in favour of Investors on transfers by Founders.</w:t>
      </w:r>
    </w:p>
    <w:p>
      <w:pPr>
        <w:pStyle w:val="ListBullet"/>
        <w:spacing w:after="40"/>
        <w:ind w:left="567"/>
        <w:jc w:val="both"/>
      </w:pPr>
      <w:r>
        <w:t>Tag-Along Right on transfers by Founders / Promoters above {{TAG_TRIGGER_PERCENT}}%.</w:t>
      </w:r>
    </w:p>
    <w:p>
      <w:pPr>
        <w:pStyle w:val="ListBullet"/>
        <w:spacing w:after="40"/>
        <w:ind w:left="567"/>
        <w:jc w:val="both"/>
      </w:pPr>
      <w:r>
        <w:t>Drag-Along Right exercisable by Investors holding ≥ {{DRAG_THRESHOLD_PERCENT}}%, after {{DRAG_AFTER_YEARS}} years.</w:t>
      </w:r>
    </w:p>
    <w:p>
      <w:pPr>
        <w:pStyle w:val="ListBullet"/>
        <w:spacing w:after="40"/>
        <w:ind w:left="567"/>
        <w:jc w:val="both"/>
      </w:pPr>
      <w:r>
        <w:t>Exit Rights: IPO by {{IPO_DEADLINE_YEAR}}, failing which Investor may invoke {{EXIT_MECHANISM}} (Secondary Sale / Strategic Sale / Buyback / Put Option).</w:t>
      </w:r>
    </w:p>
    <w:p>
      <w:r>
        <w:br w:type="page"/>
      </w:r>
    </w:p>
    <w:p>
      <w:pPr>
        <w:spacing w:before="240" w:after="80"/>
        <w:pBdr>
          <w:bottom w:val="single" w:sz="6" w:space="1" w:color="002060"/>
        </w:pBdr>
      </w:pPr>
      <w:r>
        <w:rPr>
          <w:b/>
          <w:color w:val="002060"/>
          <w:sz w:val="25"/>
        </w:rPr>
        <w:t>SCHEDULE 8 — STANDSTILL / ORDINARY-COURSE COVENANTS PENDING CLOSING</w:t>
      </w:r>
    </w:p>
    <w:p>
      <w:pPr>
        <w:pStyle w:val="ListBullet"/>
        <w:spacing w:after="40"/>
        <w:ind w:left="567"/>
        <w:jc w:val="both"/>
      </w:pPr>
      <w:r>
        <w:t>Issue, sale or grant of any securities or convertible instruments.</w:t>
      </w:r>
    </w:p>
    <w:p>
      <w:pPr>
        <w:pStyle w:val="ListBullet"/>
        <w:spacing w:after="40"/>
        <w:ind w:left="567"/>
        <w:jc w:val="both"/>
      </w:pPr>
      <w:r>
        <w:t>Declaration or payment of any dividend / distribution.</w:t>
      </w:r>
    </w:p>
    <w:p>
      <w:pPr>
        <w:pStyle w:val="ListBullet"/>
        <w:spacing w:after="40"/>
        <w:ind w:left="567"/>
        <w:jc w:val="both"/>
      </w:pPr>
      <w:r>
        <w:t>Borrowing or creation of Encumbrance beyond ₹ {{STANDSTILL_BORROW_INR}}.</w:t>
      </w:r>
    </w:p>
    <w:p>
      <w:pPr>
        <w:pStyle w:val="ListBullet"/>
        <w:spacing w:after="40"/>
        <w:ind w:left="567"/>
        <w:jc w:val="both"/>
      </w:pPr>
      <w:r>
        <w:t>Capital expenditure beyond ₹ {{STANDSTILL_CAPEX_INR}}.</w:t>
      </w:r>
    </w:p>
    <w:p>
      <w:pPr>
        <w:pStyle w:val="ListBullet"/>
        <w:spacing w:after="40"/>
        <w:ind w:left="567"/>
        <w:jc w:val="both"/>
      </w:pPr>
      <w:r>
        <w:t>Material contracts outside ordinary course or beyond ₹ {{STANDSTILL_CONTRACT_INR}}.</w:t>
      </w:r>
    </w:p>
    <w:p>
      <w:pPr>
        <w:pStyle w:val="ListBullet"/>
        <w:spacing w:after="40"/>
        <w:ind w:left="567"/>
        <w:jc w:val="both"/>
      </w:pPr>
      <w:r>
        <w:t>Hiring or termination of Key Managerial Personnel; material change in compensation policies.</w:t>
      </w:r>
    </w:p>
    <w:p>
      <w:pPr>
        <w:pStyle w:val="ListBullet"/>
        <w:spacing w:after="40"/>
        <w:ind w:left="567"/>
        <w:jc w:val="both"/>
      </w:pPr>
      <w:r>
        <w:t>Settlement of litigation involving claims above ₹ {{STANDSTILL_LITIGATION_INR}}.</w:t>
      </w:r>
    </w:p>
    <w:p>
      <w:pPr>
        <w:pStyle w:val="ListBullet"/>
        <w:spacing w:after="40"/>
        <w:ind w:left="567"/>
        <w:jc w:val="both"/>
      </w:pPr>
      <w:r>
        <w:t>Acquisition or disposal of any subsidiary, JV or material assets.</w:t>
      </w:r>
    </w:p>
    <w:p>
      <w:pPr>
        <w:pStyle w:val="ListBullet"/>
        <w:spacing w:after="40"/>
        <w:ind w:left="567"/>
        <w:jc w:val="both"/>
      </w:pPr>
      <w:r>
        <w:t>Amendment of Memorandum, Articles or any Transaction Document.</w:t>
      </w:r>
    </w:p>
    <w:p>
      <w:pPr>
        <w:pStyle w:val="ListBullet"/>
        <w:spacing w:after="40"/>
        <w:ind w:left="567"/>
        <w:jc w:val="both"/>
      </w:pPr>
      <w:r>
        <w:t>Voluntary insolvency / winding-up filings.</w:t>
      </w:r>
    </w:p>
    <w:p>
      <w:r>
        <w:br w:type="page"/>
      </w:r>
    </w:p>
    <w:p>
      <w:pPr>
        <w:spacing w:before="240" w:after="80"/>
        <w:pBdr>
          <w:bottom w:val="single" w:sz="6" w:space="1" w:color="002060"/>
        </w:pBdr>
      </w:pPr>
      <w:r>
        <w:rPr>
          <w:b/>
          <w:color w:val="002060"/>
          <w:sz w:val="25"/>
        </w:rPr>
        <w:t>SCHEDULE 9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{{INVESTOR_1_NAME}}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{{INVESTOR_1_NOTICE_EMAIL}}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{{INVESTOR_1_ATTN}}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{{INVESTOR_2_NAME}}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{{INVESTOR_2_NOTICE_ADDRESS}}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{{INVESTOR_2_NOTICE_EMAIL}}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{{INVESTOR_2_ATTN}}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{{FOUNDER_2_NOTICE_ADDRESS}}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bl>
    <w:p/>
    <w:p>
      <w:r>
        <w:br w:type="page"/>
      </w:r>
    </w:p>
    <w:p>
      <w:pPr>
        <w:spacing w:before="240" w:after="80"/>
        <w:pBdr>
          <w:bottom w:val="single" w:sz="6" w:space="1" w:color="002060"/>
        </w:pBdr>
      </w:pPr>
      <w:r>
        <w:rPr>
          <w:b/>
          <w:color w:val="002060"/>
          <w:sz w:val="25"/>
        </w:rPr>
        <w:t>DRAFTING / EXECUTION NOTES (REMOVE BEFORE EXECUTION)</w:t>
      </w:r>
    </w:p>
    <w:p>
      <w:pPr>
        <w:pStyle w:val="ListBullet"/>
        <w:spacing w:after="40"/>
        <w:ind w:left="567"/>
        <w:jc w:val="both"/>
      </w:pPr>
      <w:r>
        <w:t>Special Resolution under Sections 42 / 62(1)(c) of the Act required; Form MGT-14 within 30 days; explanatory statement to disclose pricing, justification, dilution, etc.</w:t>
      </w:r>
    </w:p>
    <w:p>
      <w:pPr>
        <w:pStyle w:val="ListBullet"/>
        <w:spacing w:after="40"/>
        <w:ind w:left="567"/>
        <w:jc w:val="both"/>
      </w:pPr>
      <w:r>
        <w:t>Form PAS-3 (allotment return) within 30 days of allotment; PAS-4 / PAS-5 records maintained.</w:t>
      </w:r>
    </w:p>
    <w:p>
      <w:pPr>
        <w:pStyle w:val="ListBullet"/>
        <w:spacing w:after="40"/>
        <w:ind w:left="567"/>
        <w:jc w:val="both"/>
      </w:pPr>
      <w:r>
        <w:t>Form FC-GPR within 30 days of allotment for non-resident Investors; pricing per FEMA NDI Rules — fair value floor via Discounted Free Cash Flow method certified by a CA.</w:t>
      </w:r>
    </w:p>
    <w:p>
      <w:pPr>
        <w:pStyle w:val="ListBullet"/>
        <w:spacing w:after="40"/>
        <w:ind w:left="567"/>
        <w:jc w:val="both"/>
      </w:pPr>
      <w:r>
        <w:t>Stamp duty on issue of shares uniformly 0.005% under Article 56A of the Indian Stamp Act, 1899 (post 2020 amendment), payable to the Depository / Stock Exchange.</w:t>
      </w:r>
    </w:p>
    <w:p>
      <w:pPr>
        <w:pStyle w:val="ListBullet"/>
        <w:spacing w:after="40"/>
        <w:ind w:left="567"/>
        <w:jc w:val="both"/>
      </w:pPr>
      <w:r>
        <w:t>Section 56(2)(viib) of the Income-tax Act, 1961 (‘angel tax’) — issuance above FMV to a resident may trigger tax in Company; for DPIIT-recognised eligible start-ups, exemption available subject to conditions.</w:t>
      </w:r>
    </w:p>
    <w:p>
      <w:pPr>
        <w:pStyle w:val="ListBullet"/>
        <w:spacing w:after="40"/>
        <w:ind w:left="567"/>
        <w:jc w:val="both"/>
      </w:pPr>
      <w:r>
        <w:t>Section 56(2)(x) — receipt of shares for less than FMV may trigger tax in hands of Investor; ensure pricing per Rule 11UA.</w:t>
      </w:r>
    </w:p>
    <w:p>
      <w:pPr>
        <w:pStyle w:val="ListBullet"/>
        <w:spacing w:after="40"/>
        <w:ind w:left="567"/>
        <w:jc w:val="both"/>
      </w:pPr>
      <w:r>
        <w:t>Press Note 3 (2020): any investment from countries sharing land border with India requires prior government approval.</w:t>
      </w:r>
    </w:p>
    <w:p>
      <w:pPr>
        <w:pStyle w:val="ListBullet"/>
        <w:spacing w:after="40"/>
        <w:ind w:left="567"/>
        <w:jc w:val="both"/>
      </w:pPr>
      <w:r>
        <w:t>Sectoral caps under FDI Policy must be checked (especially for fintech, defence, media, telecom, ecommerce).</w:t>
      </w:r>
    </w:p>
    <w:p>
      <w:pPr>
        <w:pStyle w:val="ListBullet"/>
        <w:spacing w:after="40"/>
        <w:ind w:left="567"/>
        <w:jc w:val="both"/>
      </w:pPr>
      <w:r>
        <w:t>If Investor is an AIF, RBI Master Direction on Reporting under FEMA also applies.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