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TAG-ALONG AGREEMENT</w:t>
      </w:r>
    </w:p>
    <w:p>
      <w:pPr>
        <w:spacing w:before="200" w:after="160"/>
        <w:jc w:val="center"/>
      </w:pPr>
      <w:r>
        <w:rPr>
          <w:b/>
          <w:color w:val="002060"/>
          <w:sz w:val="26"/>
        </w:rPr>
        <w:t>(India — Private Limited Company)</w:t>
      </w:r>
    </w:p>
    <w:p>
      <w:r>
        <w:rPr>
          <w:b w:val="0"/>
          <w:i/>
        </w:rPr>
        <w:t>Executed on this {{EXECUTION_DAY}} day of {{EXECUTION_MONTH}}, {{EXECUTION_YEAR}} at {{EXECUTION_PLACE}}, India.</w:t>
      </w:r>
    </w:p>
    <w:p/>
    <w:p>
      <w:pPr>
        <w:spacing w:before="240" w:after="80"/>
        <w:pBdr>
          <w:bottom w:val="single" w:sz="6" w:space="1" w:color="002060"/>
        </w:pBdr>
      </w:pPr>
      <w:r>
        <w:rPr>
          <w:b/>
          <w:color w:val="002060"/>
          <w:sz w:val="25"/>
        </w:rPr>
        <w:t>DOCUMENT SUMMARY</w:t>
      </w:r>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Company</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{{COMPANY_NAME}} (CIN: {{COMPANY_CIN}})</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Effective Date</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{{EFFECTIVE_DATE}}</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Tag-Tagging Shareholders (Sellers)</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{{TAGGING_SELLERS_DESCRIPTION}} (e.g., Founders)</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Tag-Right Holders (Beneficiaries)</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{{TAG_RIGHT_HOLDERS_DESCRIPTION}} (e.g., Investors)</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Tag Trigger Threshold (% Transferred)</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{{TAG_TRIGGER_PERCENT}}% (single Transfer or rolling)</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Tag Response Period</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{{TAG_RESPONSE_DAYS}} Business Days</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Pro-Rata Basis</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Fully diluted, as-converted</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Governing Law</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Laws of the Republic of India</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Seat of Arbitration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{{ARBITRATION_SEAT_CITY}}, India</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Stamp Duty Paid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{{STAMP_DUTY_AMOUNT}}</w:t>
            </w:r>
          </w:p>
        </w:tc>
      </w:tr>
    </w:tbl>
    <w:p/>
    <w:p>
      <w:pPr>
        <w:spacing w:before="240" w:after="80"/>
        <w:pBdr>
          <w:bottom w:val="single" w:sz="6" w:space="1" w:color="002060"/>
        </w:pBdr>
      </w:pPr>
      <w:r>
        <w:rPr>
          <w:b/>
          <w:color w:val="002060"/>
          <w:sz w:val="25"/>
        </w:rPr>
        <w:t>PARTIES</w:t>
      </w:r>
    </w:p>
    <w:p>
      <w:pPr>
        <w:jc w:val="both"/>
      </w:pPr>
      <w:r>
        <w:rPr>
          <w:b w:val="0"/>
          <w:i w:val="0"/>
        </w:rPr>
        <w:t>This Tag-Along Agreement (the “Agreement”) is made BY AND AMONGST:</w:t>
      </w:r>
    </w:p>
    <w:p>
      <w:pPr>
        <w:jc w:val="both"/>
      </w:pPr>
      <w:r>
        <w:rPr>
          <w:b w:val="0"/>
          <w:i w:val="0"/>
        </w:rPr>
        <w:t>1.  {{COMPANY_NAME}}, a company incorporated under the Companies Act, 2013, having CIN {{COMPANY_CIN}}, registered office at {{COMPANY_REGISTERED_OFFICE}} (the “Company”);</w:t>
      </w:r>
    </w:p>
    <w:p>
      <w:pPr>
        <w:jc w:val="both"/>
      </w:pPr>
      <w:r>
        <w:rPr>
          <w:b w:val="0"/>
          <w:i w:val="0"/>
        </w:rPr>
        <w:t>2.  {{TAGGING_SELLER_1_NAME}}, residing at {{TAGGING_SELLER_1_ADDRESS}}, PAN {{TAGGING_SELLER_1_PAN}} (“Tagging Seller 1” / “Founder 1”);</w:t>
      </w:r>
    </w:p>
    <w:p>
      <w:pPr>
        <w:jc w:val="both"/>
      </w:pPr>
      <w:r>
        <w:rPr>
          <w:b w:val="0"/>
          <w:i w:val="0"/>
        </w:rPr>
        <w:t>3.  {{TAGGING_SELLER_2_NAME}}, residing at {{TAGGING_SELLER_2_ADDRESS}}, PAN {{TAGGING_SELLER_2_PAN}} (“Tagging Seller 2” / “Founder 2”);</w:t>
      </w:r>
    </w:p>
    <w:p>
      <w:pPr>
        <w:jc w:val="both"/>
      </w:pPr>
      <w:r>
        <w:rPr>
          <w:b w:val="0"/>
          <w:i/>
          <w:sz w:val="18"/>
        </w:rPr>
        <w:t>[Add additional Tagging Sellers as required.]</w:t>
      </w:r>
    </w:p>
    <w:p>
      <w:pPr>
        <w:jc w:val="both"/>
      </w:pPr>
      <w:r>
        <w:rPr>
          <w:b w:val="0"/>
          <w:i w:val="0"/>
        </w:rPr>
        <w:t>4.  {{TAG_RIGHT_HOLDER_1_NAME}}, {{TAG_RIGHT_HOLDER_1_DESCRIPTION}}, with address at {{TAG_RIGHT_HOLDER_1_ADDRESS}} (“Tag-Right Holder 1” / “Investor 1”);</w:t>
      </w:r>
    </w:p>
    <w:p>
      <w:pPr>
        <w:jc w:val="both"/>
      </w:pPr>
      <w:r>
        <w:rPr>
          <w:b w:val="0"/>
          <w:i w:val="0"/>
        </w:rPr>
        <w:t>5.  {{TAG_RIGHT_HOLDER_2_NAME}}, {{TAG_RIGHT_HOLDER_2_DESCRIPTION}}, with address at {{TAG_RIGHT_HOLDER_2_ADDRESS}} (“Tag-Right Holder 2” / “Investor 2”).</w:t>
      </w:r>
    </w:p>
    <w:p>
      <w:pPr>
        <w:jc w:val="both"/>
      </w:pPr>
      <w:r>
        <w:rPr>
          <w:b w:val="0"/>
          <w:i w:val="0"/>
        </w:rPr>
        <w:t>Together, the “Parties”; individually a “Party”.</w:t>
      </w:r>
    </w:p>
    <w:p>
      <w:pPr>
        <w:spacing w:before="240" w:after="80"/>
        <w:pBdr>
          <w:bottom w:val="single" w:sz="6" w:space="1" w:color="002060"/>
        </w:pBdr>
      </w:pPr>
      <w:r>
        <w:rPr>
          <w:b/>
          <w:color w:val="002060"/>
          <w:sz w:val="25"/>
        </w:rPr>
        <w:t>RECITALS</w:t>
      </w:r>
    </w:p>
    <w:p>
      <w:pPr>
        <w:spacing w:before="40"/>
        <w:ind w:left="454"/>
        <w:jc w:val="both"/>
      </w:pPr>
      <w:r>
        <w:rPr>
          <w:b/>
        </w:rPr>
        <w:t xml:space="preserve">A. </w:t>
      </w:r>
      <w:r>
        <w:t>The Company is engaged in the business of {{BUSINESS_DESCRIPTION}}.</w:t>
      </w:r>
    </w:p>
    <w:p>
      <w:pPr>
        <w:spacing w:before="40"/>
        <w:ind w:left="454"/>
        <w:jc w:val="both"/>
      </w:pPr>
      <w:r>
        <w:rPr>
          <w:b/>
        </w:rPr>
        <w:t xml:space="preserve">B. </w:t>
      </w:r>
      <w:r>
        <w:t>The Parties (or their predecessors-in-title) have entered into the Share Subscription Agreement dated {{SSA_DATE}} (the “SSA”) and the Investor Rights Agreement dated {{IRA_DATE}} (the “IRA”), pursuant to which the Tag-Right Holders have invested in the Company on the agreed terms, including the right to tag along on Transfers by the Tagging Sellers.</w:t>
      </w:r>
    </w:p>
    <w:p>
      <w:pPr>
        <w:spacing w:before="40"/>
        <w:ind w:left="454"/>
        <w:jc w:val="both"/>
      </w:pPr>
      <w:r>
        <w:rPr>
          <w:b/>
        </w:rPr>
        <w:t xml:space="preserve">C. </w:t>
      </w:r>
      <w:r>
        <w:t>The Parties wish to consolidate the tag-along provisions in this standalone Agreement for clarity and ease of enforcement, and to ensure the same is reflected in the Articles of Association of the Company in accordance with Section 58(2) of the Companies Act, 2013.</w:t>
      </w:r>
    </w:p>
    <w:p/>
    <w:p>
      <w:pPr>
        <w:jc w:val="both"/>
      </w:pPr>
      <w:r>
        <w:rPr>
          <w:b/>
          <w:i w:val="0"/>
        </w:rPr>
        <w:t>NOW THEREFORE, the Parties agree as follows:</w:t>
      </w:r>
    </w:p>
    <w:p>
      <w:r>
        <w:br w:type="page"/>
      </w:r>
    </w:p>
    <w:p>
      <w:pPr>
        <w:spacing w:before="240" w:after="80"/>
        <w:pBdr>
          <w:bottom w:val="single" w:sz="6" w:space="1" w:color="002060"/>
        </w:pBdr>
      </w:pPr>
      <w:r>
        <w:rPr>
          <w:b/>
          <w:color w:val="002060"/>
          <w:sz w:val="25"/>
        </w:rPr>
        <w:t>1.  DEFINITIONS AND INTERPRETATION</w:t>
      </w:r>
    </w:p>
    <w:tbl>
      <w:tblPr>
        <w:tblW w:type="auto" w:w="0"/>
        <w:jc w:val="center"/>
        <w:tblLayout w:type="fixed"/>
        <w:tblLook w:firstColumn="1" w:firstRow="1" w:lastColumn="0" w:lastRow="0" w:noHBand="0" w:noVBand="1" w:val="04A0"/>
      </w:tblPr>
      <w:tblGrid>
        <w:gridCol w:w="4873"/>
        <w:gridCol w:w="4873"/>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Term</w:t>
            </w:r>
          </w:p>
        </w:tc>
        <w:tc>
          <w:tcPr>
            <w:tcW w:type="dxa" w:w="6803"/>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Definition</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“Act”</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Companies Act, 2013, together with rules and regulations thereunder.</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“Articles” / “AoA”</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Articles of Association of the Company, as amended.</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“Business Day”</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a day other than Saturday, Sunday or a public holiday in {{JURISDICTION_CITY}}.</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“Encumbrance”</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any mortgage, charge, lien, pledge, hypothecation, security interest, option or other encumbrance.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“Proposed Transferee”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bona-fide third party purchaser identified in a Tag Trigger Notice.</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“Securities”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equity shares, preference shares (including CCPS), debentures (including CCDs), warrants and any other security issued by the Company.</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“Tag Acceptance Notice”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notice issued under Clause 3.3 by a Tag-Right Holder.</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“Tag Securities”</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the Securities in respect of which a Tag-Right Holder has issued a Tag Acceptance Notice.</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“Tag Trigger Notice”</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the notice issued under Clause 3.1 by a Tagging Seller, triggering the Tag-Along Right.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“Tag Trigger Threshold”</w:t>
            </w:r>
          </w:p>
        </w:tc>
        <w:tc>
          <w:tcPr>
            <w:tcW w:type="dxa" w:w="6803"/>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{{TAG_TRIGGER_PERCENT}}% of the issued and paid-up share capital of the Company on a fully diluted basis (alternatively, specify as “any Transfer” for low-threshold tags).</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“Transfer”</w:t>
            </w:r>
          </w:p>
        </w:tc>
        <w:tc>
          <w:tcPr>
            <w:tcW w:type="dxa" w:w="6803"/>
            <w:tcBorders>
              <w:top w:val="single" w:sz="4" w:color="808080"/>
              <w:left w:val="single" w:sz="4" w:color="808080"/>
              <w:bottom w:val="single" w:sz="4" w:color="808080"/>
              <w:right w:val="single" w:sz="4" w:color="808080"/>
            </w:tcBorders>
            <w:vAlign w:val="center"/>
          </w:tcPr>
          <w:p>
            <w:pPr>
              <w:jc w:val="left"/>
            </w:pPr>
            <w:r/>
            <w:r>
              <w:rPr>
                <w:sz w:val="21"/>
              </w:rPr>
              <w:t>to sell, assign, transfer, gift, pledge, hypothecate, mortgage, charge or otherwise dispose of.</w:t>
            </w:r>
          </w:p>
        </w:tc>
      </w:tr>
    </w:tbl>
    <w:p/>
    <w:p>
      <w:pPr>
        <w:spacing w:before="240" w:after="80"/>
        <w:pBdr>
          <w:bottom w:val="single" w:sz="6" w:space="1" w:color="002060"/>
        </w:pBdr>
      </w:pPr>
      <w:r>
        <w:rPr>
          <w:b/>
          <w:color w:val="002060"/>
          <w:sz w:val="25"/>
        </w:rPr>
        <w:t>2.  GRANT OF TAG-ALONG RIGHT</w:t>
      </w:r>
    </w:p>
    <w:p>
      <w:pPr>
        <w:spacing w:before="80"/>
        <w:jc w:val="both"/>
      </w:pPr>
      <w:r>
        <w:rPr>
          <w:b/>
        </w:rPr>
        <w:t xml:space="preserve">2.1 </w:t>
      </w:r>
      <w:r>
        <w:rPr>
          <w:b/>
        </w:rPr>
        <w:t xml:space="preserve">Grant. </w:t>
      </w:r>
      <w:r>
        <w:t>If any Tagging Seller proposes to Transfer (alone or together with other Tagging Sellers acting in concert), in one transaction or a series of related transactions, Securities representing more than the Tag Trigger Threshold, to a third party (the “Proposed Transferee”), each Tag-Right Holder shall have the right (but not the obligation) to require the Proposed Transferee to also purchase a pro-rata portion of the Securities held by such Tag-Right Holder, on the same terms and at the same price per Security (the “Tag-Along Right”).</w:t>
      </w:r>
    </w:p>
    <w:p>
      <w:pPr>
        <w:spacing w:before="80"/>
        <w:jc w:val="both"/>
      </w:pPr>
      <w:r>
        <w:rPr>
          <w:b/>
        </w:rPr>
        <w:t xml:space="preserve">2.2 </w:t>
      </w:r>
      <w:r>
        <w:rPr>
          <w:b/>
        </w:rPr>
        <w:t xml:space="preserve">Permitted Transfers. </w:t>
      </w:r>
      <w:r>
        <w:t>The Tag-Along Right shall not apply to:</w:t>
      </w:r>
    </w:p>
    <w:p>
      <w:pPr>
        <w:spacing w:before="40"/>
        <w:ind w:left="454"/>
        <w:jc w:val="both"/>
      </w:pPr>
      <w:r>
        <w:rPr>
          <w:b/>
        </w:rPr>
        <w:t xml:space="preserve">(a) </w:t>
      </w:r>
      <w:r>
        <w:t>Transfers by a Tagging Seller to immediate family members or to a family trust solely for their benefit, up to {{PERMITTED_FAMILY_TRANSFER_PCT}}% of the Tagging Seller’s holding, provided the transferee executes a Deed of Adherence;</w:t>
      </w:r>
    </w:p>
    <w:p>
      <w:pPr>
        <w:spacing w:before="40"/>
        <w:ind w:left="454"/>
        <w:jc w:val="both"/>
      </w:pPr>
      <w:r>
        <w:rPr>
          <w:b/>
        </w:rPr>
        <w:t xml:space="preserve">(b) </w:t>
      </w:r>
      <w:r>
        <w:t>Transfers in connection with an IPO of the Company;</w:t>
      </w:r>
    </w:p>
    <w:p>
      <w:pPr>
        <w:spacing w:before="40"/>
        <w:ind w:left="454"/>
        <w:jc w:val="both"/>
      </w:pPr>
      <w:r>
        <w:rPr>
          <w:b/>
        </w:rPr>
        <w:t xml:space="preserve">(c) </w:t>
      </w:r>
      <w:r>
        <w:t>Transfers pursuant to a Drag-Along exercise by Investors holding the requisite threshold;</w:t>
      </w:r>
    </w:p>
    <w:p>
      <w:pPr>
        <w:spacing w:before="40"/>
        <w:ind w:left="454"/>
        <w:jc w:val="both"/>
      </w:pPr>
      <w:r>
        <w:rPr>
          <w:b/>
        </w:rPr>
        <w:t xml:space="preserve">(d) </w:t>
      </w:r>
      <w:r>
        <w:t>Transfers by way of testamentary or intestate succession;</w:t>
      </w:r>
    </w:p>
    <w:p>
      <w:pPr>
        <w:spacing w:before="40"/>
        <w:ind w:left="454"/>
        <w:jc w:val="both"/>
      </w:pPr>
      <w:r>
        <w:rPr>
          <w:b/>
        </w:rPr>
        <w:t xml:space="preserve">(e) </w:t>
      </w:r>
      <w:r>
        <w:t>Transfers consented to in writing by all Tag-Right Holders.</w:t>
      </w:r>
    </w:p>
    <w:p>
      <w:pPr>
        <w:spacing w:before="240" w:after="80"/>
        <w:pBdr>
          <w:bottom w:val="single" w:sz="6" w:space="1" w:color="002060"/>
        </w:pBdr>
      </w:pPr>
      <w:r>
        <w:rPr>
          <w:b/>
          <w:color w:val="002060"/>
          <w:sz w:val="25"/>
        </w:rPr>
        <w:t>3.  TAG-ALONG PROCEDURE</w:t>
      </w:r>
    </w:p>
    <w:p>
      <w:pPr>
        <w:spacing w:before="80"/>
        <w:jc w:val="both"/>
      </w:pPr>
      <w:r>
        <w:rPr>
          <w:b/>
        </w:rPr>
        <w:t xml:space="preserve">3.1 </w:t>
      </w:r>
      <w:r>
        <w:rPr>
          <w:b/>
        </w:rPr>
        <w:t xml:space="preserve">Tag Trigger Notice. </w:t>
      </w:r>
      <w:r>
        <w:t>A Tagging Seller who proposes to undertake a Transfer triggering the Tag-Along Right (or, if a ROFR / ROFO procedure has been followed in respect of such Transfer, the residual securities not picked up by the Right Holders thereunder) shall serve a written notice (the “Tag Trigger Notice”) on each Tag-Right Holder (with a copy to the Company), specifying:</w:t>
      </w:r>
    </w:p>
    <w:p>
      <w:pPr>
        <w:spacing w:before="40"/>
        <w:ind w:left="454"/>
        <w:jc w:val="both"/>
      </w:pPr>
      <w:r>
        <w:rPr>
          <w:b/>
        </w:rPr>
        <w:t xml:space="preserve">(a) </w:t>
      </w:r>
      <w:r>
        <w:t>name, address and material particulars of the Proposed Transferee;</w:t>
      </w:r>
    </w:p>
    <w:p>
      <w:pPr>
        <w:spacing w:before="40"/>
        <w:ind w:left="454"/>
        <w:jc w:val="both"/>
      </w:pPr>
      <w:r>
        <w:rPr>
          <w:b/>
        </w:rPr>
        <w:t xml:space="preserve">(b) </w:t>
      </w:r>
      <w:r>
        <w:t>number and class of Securities proposed to be Transferred;</w:t>
      </w:r>
    </w:p>
    <w:p>
      <w:pPr>
        <w:spacing w:before="40"/>
        <w:ind w:left="454"/>
        <w:jc w:val="both"/>
      </w:pPr>
      <w:r>
        <w:rPr>
          <w:b/>
        </w:rPr>
        <w:t xml:space="preserve">(c) </w:t>
      </w:r>
      <w:r>
        <w:t>price per Security and the aggregate consideration;</w:t>
      </w:r>
    </w:p>
    <w:p>
      <w:pPr>
        <w:spacing w:before="40"/>
        <w:ind w:left="454"/>
        <w:jc w:val="both"/>
      </w:pPr>
      <w:r>
        <w:rPr>
          <w:b/>
        </w:rPr>
        <w:t xml:space="preserve">(d) </w:t>
      </w:r>
      <w:r>
        <w:t>form of consideration (cash / listed securities / other);</w:t>
      </w:r>
    </w:p>
    <w:p>
      <w:pPr>
        <w:spacing w:before="40"/>
        <w:ind w:left="454"/>
        <w:jc w:val="both"/>
      </w:pPr>
      <w:r>
        <w:rPr>
          <w:b/>
        </w:rPr>
        <w:t xml:space="preserve">(e) </w:t>
      </w:r>
      <w:r>
        <w:t>all material terms and conditions of the proposed Transfer;</w:t>
      </w:r>
    </w:p>
    <w:p>
      <w:pPr>
        <w:spacing w:before="40"/>
        <w:ind w:left="454"/>
        <w:jc w:val="both"/>
      </w:pPr>
      <w:r>
        <w:rPr>
          <w:b/>
        </w:rPr>
        <w:t xml:space="preserve">(f) </w:t>
      </w:r>
      <w:r>
        <w:t>a copy of the bona-fide written offer / term sheet from the Proposed Transferee;</w:t>
      </w:r>
    </w:p>
    <w:p>
      <w:pPr>
        <w:spacing w:before="40"/>
        <w:ind w:left="454"/>
        <w:jc w:val="both"/>
      </w:pPr>
      <w:r>
        <w:rPr>
          <w:b/>
        </w:rPr>
        <w:t xml:space="preserve">(g) </w:t>
      </w:r>
      <w:r>
        <w:t>proposed closing date.</w:t>
      </w:r>
    </w:p>
    <w:p>
      <w:pPr>
        <w:spacing w:before="80"/>
        <w:jc w:val="both"/>
      </w:pPr>
      <w:r>
        <w:rPr>
          <w:b/>
        </w:rPr>
        <w:t xml:space="preserve">3.2 </w:t>
      </w:r>
      <w:r>
        <w:rPr>
          <w:b/>
        </w:rPr>
        <w:t xml:space="preserve">Tag-Right Holder’s Pro-Rata Entitlement. </w:t>
      </w:r>
      <w:r>
        <w:t>Each Tag-Right Holder shall be entitled to tag along in respect of a portion of its Securities calculated as follows:</w:t>
      </w:r>
    </w:p>
    <w:p>
      <w:pPr>
        <w:jc w:val="both"/>
      </w:pPr>
      <w:r>
        <w:rPr>
          <w:b/>
          <w:i w:val="0"/>
        </w:rPr>
        <w:t>Tag-Along Amount = (Tag-Right Holder’s Securities ÷ Aggregate Securities of Tagging Sellers + Aggregate Securities of all Tag-Right Holders, on a fully diluted, as-converted basis) × Securities being Transferred by the Tagging Sellers.</w:t>
      </w:r>
    </w:p>
    <w:p>
      <w:pPr>
        <w:spacing w:before="80"/>
        <w:jc w:val="both"/>
      </w:pPr>
      <w:r>
        <w:rPr>
          <w:b/>
        </w:rPr>
        <w:t xml:space="preserve">3.3 </w:t>
      </w:r>
      <w:r>
        <w:rPr>
          <w:b/>
        </w:rPr>
        <w:t xml:space="preserve">Tag Acceptance Notice. </w:t>
      </w:r>
      <w:r>
        <w:t>Within {{TAG_RESPONSE_DAYS}} Business Days from receipt of the Tag Trigger Notice (the “Tag Acceptance Period”), a Tag-Right Holder wishing to exercise its Tag-Along Right shall serve a written notice (the “Tag Acceptance Notice”) on the Tagging Seller (with a copy to the Company and to the Proposed Transferee), specifying:</w:t>
      </w:r>
    </w:p>
    <w:p>
      <w:pPr>
        <w:spacing w:before="40"/>
        <w:ind w:left="454"/>
        <w:jc w:val="both"/>
      </w:pPr>
      <w:r>
        <w:rPr>
          <w:b/>
        </w:rPr>
        <w:t xml:space="preserve">(a) </w:t>
      </w:r>
      <w:r>
        <w:t>its election to tag along; and</w:t>
      </w:r>
    </w:p>
    <w:p>
      <w:pPr>
        <w:spacing w:before="40"/>
        <w:ind w:left="454"/>
        <w:jc w:val="both"/>
      </w:pPr>
      <w:r>
        <w:rPr>
          <w:b/>
        </w:rPr>
        <w:t xml:space="preserve">(b) </w:t>
      </w:r>
      <w:r>
        <w:t>the number of Tag Securities (up to its pro-rata entitlement) which it wishes to include in the Transfer.</w:t>
      </w:r>
    </w:p>
    <w:p>
      <w:pPr>
        <w:spacing w:before="80"/>
        <w:jc w:val="both"/>
      </w:pPr>
      <w:r>
        <w:rPr>
          <w:b/>
        </w:rPr>
        <w:t xml:space="preserve">3.4 </w:t>
      </w:r>
      <w:r>
        <w:rPr>
          <w:b/>
        </w:rPr>
        <w:t xml:space="preserve">Effect of Acceptance. </w:t>
      </w:r>
      <w:r>
        <w:t>Upon receipt of a Tag Acceptance Notice, the Tagging Seller shall ensure that the Proposed Transferee:</w:t>
      </w:r>
    </w:p>
    <w:p>
      <w:pPr>
        <w:spacing w:before="40"/>
        <w:ind w:left="454"/>
        <w:jc w:val="both"/>
      </w:pPr>
      <w:r>
        <w:rPr>
          <w:b/>
        </w:rPr>
        <w:t xml:space="preserve">(a) </w:t>
      </w:r>
      <w:r>
        <w:t>purchases the Tag Securities on the same terms (per Security) and at the same price as the Securities being Transferred by the Tagging Sellers;</w:t>
      </w:r>
    </w:p>
    <w:p>
      <w:pPr>
        <w:spacing w:before="40"/>
        <w:ind w:left="454"/>
        <w:jc w:val="both"/>
      </w:pPr>
      <w:r>
        <w:rPr>
          <w:b/>
        </w:rPr>
        <w:t xml:space="preserve">(b) </w:t>
      </w:r>
      <w:r>
        <w:t>completes the purchase of the Tag Securities simultaneously with, or as a condition of, the Tagging Sellers’ Transfer.</w:t>
      </w:r>
    </w:p>
    <w:p>
      <w:pPr>
        <w:spacing w:before="80"/>
        <w:jc w:val="both"/>
      </w:pPr>
      <w:r>
        <w:rPr>
          <w:b/>
        </w:rPr>
        <w:t xml:space="preserve">3.5 </w:t>
      </w:r>
      <w:r>
        <w:rPr>
          <w:b/>
        </w:rPr>
        <w:t xml:space="preserve">If Proposed Transferee Refuses. </w:t>
      </w:r>
      <w:r>
        <w:t>If the Proposed Transferee refuses to purchase the Tag Securities, the Tagging Seller shall not be permitted to complete the proposed Transfer of any of its own Securities to the Proposed Transferee. Any purported Transfer in breach of this Clause shall be null and void, and the Company shall refuse to register the Transfer.</w:t>
      </w:r>
    </w:p>
    <w:p>
      <w:pPr>
        <w:spacing w:before="80"/>
        <w:jc w:val="both"/>
      </w:pPr>
      <w:r>
        <w:rPr>
          <w:b/>
        </w:rPr>
        <w:t xml:space="preserve">3.6 </w:t>
      </w:r>
      <w:r>
        <w:rPr>
          <w:b/>
        </w:rPr>
        <w:t xml:space="preserve">Pro-Rata Reduction. </w:t>
      </w:r>
      <w:r>
        <w:t>If the Proposed Transferee is unwilling to purchase the full quantum of Securities (i.e., Tagging Sellers’ Securities + all Tag Securities), then the Tagging Sellers’ and the Tag-Right Holders’ Securities included in the Transfer shall be proportionately reduced so that the aggregate number Transferred equals the number the Proposed Transferee is willing to purchase. The Tag-Right Holders shall not be diluted to less than their pro-rata share of the reduced quantum.</w:t>
      </w:r>
    </w:p>
    <w:p>
      <w:pPr>
        <w:spacing w:before="80"/>
        <w:jc w:val="both"/>
      </w:pPr>
      <w:r>
        <w:rPr>
          <w:b/>
        </w:rPr>
        <w:t xml:space="preserve">3.7 </w:t>
      </w:r>
      <w:r>
        <w:rPr>
          <w:b/>
        </w:rPr>
        <w:t xml:space="preserve">Closing. </w:t>
      </w:r>
      <w:r>
        <w:t>Closing of the tag-along Transfer shall occur on the date specified in the Tag Trigger Notice (or such later date as the Tagging Sellers, the Tag-Right Holders and the Proposed Transferee may agree). At Closing:</w:t>
      </w:r>
    </w:p>
    <w:p>
      <w:pPr>
        <w:spacing w:before="40"/>
        <w:ind w:left="454"/>
        <w:jc w:val="both"/>
      </w:pPr>
      <w:r>
        <w:rPr>
          <w:b/>
        </w:rPr>
        <w:t xml:space="preserve">(a) </w:t>
      </w:r>
      <w:r>
        <w:t>the Tag-Right Holders shall execute and deliver duly stamped share transfer forms (Form SH-4), share certificates / DEMAT delivery instructions, the share purchase / shareholders’ exit agreement, and any other documents reasonably required;</w:t>
      </w:r>
    </w:p>
    <w:p>
      <w:pPr>
        <w:spacing w:before="40"/>
        <w:ind w:left="454"/>
        <w:jc w:val="both"/>
      </w:pPr>
      <w:r>
        <w:rPr>
          <w:b/>
        </w:rPr>
        <w:t xml:space="preserve">(b) </w:t>
      </w:r>
      <w:r>
        <w:t>the Proposed Transferee shall remit the consideration for the Tag Securities, in immediately available funds, to the Tag-Right Holders’ designated bank accounts;</w:t>
      </w:r>
    </w:p>
    <w:p>
      <w:pPr>
        <w:spacing w:before="40"/>
        <w:ind w:left="454"/>
        <w:jc w:val="both"/>
      </w:pPr>
      <w:r>
        <w:rPr>
          <w:b/>
        </w:rPr>
        <w:t xml:space="preserve">(c) </w:t>
      </w:r>
      <w:r>
        <w:t>the Company shall register the Transfers in its Register of Members and effect statutory filings as required.</w:t>
      </w:r>
    </w:p>
    <w:p>
      <w:pPr>
        <w:spacing w:before="80"/>
        <w:jc w:val="both"/>
      </w:pPr>
      <w:r>
        <w:rPr>
          <w:b/>
        </w:rPr>
        <w:t xml:space="preserve">3.8 </w:t>
      </w:r>
      <w:r>
        <w:rPr>
          <w:b/>
        </w:rPr>
        <w:t xml:space="preserve">Re-Notification. </w:t>
      </w:r>
      <w:r>
        <w:t>Any change in (a) the identity of the Proposed Transferee; (b) the price per Security; or (c) any other material term, shall require the Tagging Seller to issue a fresh Tag Trigger Notice, re-triggering the procedure.</w:t>
      </w:r>
    </w:p>
    <w:p>
      <w:pPr>
        <w:spacing w:before="240" w:after="80"/>
        <w:pBdr>
          <w:bottom w:val="single" w:sz="6" w:space="1" w:color="002060"/>
        </w:pBdr>
      </w:pPr>
      <w:r>
        <w:rPr>
          <w:b/>
          <w:color w:val="002060"/>
          <w:sz w:val="25"/>
        </w:rPr>
        <w:t>4.  NON-CASH CONSIDERATION</w:t>
      </w:r>
    </w:p>
    <w:p>
      <w:pPr>
        <w:spacing w:before="80"/>
        <w:jc w:val="both"/>
      </w:pPr>
      <w:r>
        <w:rPr>
          <w:b/>
        </w:rPr>
        <w:t xml:space="preserve">4.1 </w:t>
      </w:r>
      <w:r>
        <w:rPr>
          <w:b/>
        </w:rPr>
        <w:t xml:space="preserve">Valuation. </w:t>
      </w:r>
      <w:r>
        <w:t>Where the Proposed Transferee offers consideration in a form other than cash (in whole or in part), the Tag-Right Holders may elect to receive either:</w:t>
      </w:r>
    </w:p>
    <w:p>
      <w:pPr>
        <w:spacing w:before="40"/>
        <w:ind w:left="454"/>
        <w:jc w:val="both"/>
      </w:pPr>
      <w:r>
        <w:rPr>
          <w:b/>
        </w:rPr>
        <w:t xml:space="preserve">(a) </w:t>
      </w:r>
      <w:r>
        <w:t>the same form of non-cash consideration as offered to the Tagging Sellers; OR</w:t>
      </w:r>
    </w:p>
    <w:p>
      <w:pPr>
        <w:spacing w:before="40"/>
        <w:ind w:left="454"/>
        <w:jc w:val="both"/>
      </w:pPr>
      <w:r>
        <w:rPr>
          <w:b/>
        </w:rPr>
        <w:t xml:space="preserve">(b) </w:t>
      </w:r>
      <w:r>
        <w:t>the cash-equivalent value of such non-cash consideration, as determined by a Registered Valuer under Section 247 of the Act, jointly appointed by the Tagging Sellers and the Tag-Right Holders.</w:t>
      </w:r>
    </w:p>
    <w:p>
      <w:pPr>
        <w:spacing w:before="80"/>
        <w:jc w:val="both"/>
      </w:pPr>
      <w:r>
        <w:rPr>
          <w:b/>
        </w:rPr>
        <w:t xml:space="preserve">4.2 </w:t>
      </w:r>
      <w:r>
        <w:rPr>
          <w:b/>
        </w:rPr>
        <w:t xml:space="preserve">Costs. </w:t>
      </w:r>
      <w:r>
        <w:t>The cost of the valuation under Clause 4.1 shall be borne equally by the Tagging Sellers and the Tag-Right Holders.</w:t>
      </w:r>
    </w:p>
    <w:p>
      <w:pPr>
        <w:spacing w:before="240" w:after="80"/>
        <w:pBdr>
          <w:bottom w:val="single" w:sz="6" w:space="1" w:color="002060"/>
        </w:pBdr>
      </w:pPr>
      <w:r>
        <w:rPr>
          <w:b/>
          <w:color w:val="002060"/>
          <w:sz w:val="25"/>
        </w:rPr>
        <w:t>5.  WARRANTIES OF TAG-RIGHT HOLDERS</w:t>
      </w:r>
    </w:p>
    <w:p>
      <w:pPr>
        <w:jc w:val="both"/>
      </w:pPr>
      <w:r>
        <w:rPr>
          <w:b w:val="0"/>
          <w:i w:val="0"/>
        </w:rPr>
        <w:t>Each Tag-Right Holder, upon exercise of its Tag-Along Right, shall provide to the Proposed Transferee only the following warranties (on a several, not joint, basis):</w:t>
      </w:r>
    </w:p>
    <w:p>
      <w:pPr>
        <w:pStyle w:val="ListBullet"/>
        <w:spacing w:after="40"/>
        <w:ind w:left="567"/>
        <w:jc w:val="both"/>
      </w:pPr>
      <w:r>
        <w:t>title to its Tag Securities, free and clear of all Encumbrances;</w:t>
      </w:r>
    </w:p>
    <w:p>
      <w:pPr>
        <w:pStyle w:val="ListBullet"/>
        <w:spacing w:after="40"/>
        <w:ind w:left="567"/>
        <w:jc w:val="both"/>
      </w:pPr>
      <w:r>
        <w:t>capacity and authority to Transfer;</w:t>
      </w:r>
    </w:p>
    <w:p>
      <w:pPr>
        <w:pStyle w:val="ListBullet"/>
        <w:spacing w:after="40"/>
        <w:ind w:left="567"/>
        <w:jc w:val="both"/>
      </w:pPr>
      <w:r>
        <w:t>no insolvency / winding-up proceedings;</w:t>
      </w:r>
    </w:p>
    <w:p>
      <w:pPr>
        <w:pStyle w:val="ListBullet"/>
        <w:spacing w:after="40"/>
        <w:ind w:left="567"/>
        <w:jc w:val="both"/>
      </w:pPr>
      <w:r>
        <w:t>execution of this Agreement does not breach any other agreement;</w:t>
      </w:r>
    </w:p>
    <w:p>
      <w:pPr>
        <w:pStyle w:val="ListBullet"/>
        <w:spacing w:after="40"/>
        <w:ind w:left="567"/>
        <w:jc w:val="both"/>
      </w:pPr>
      <w:r>
        <w:t>compliance with FEMA / FATCA / CRS (where applicable) and lawful source of holding.</w:t>
      </w:r>
    </w:p>
    <w:p>
      <w:pPr>
        <w:jc w:val="both"/>
      </w:pPr>
      <w:r>
        <w:rPr>
          <w:b w:val="0"/>
          <w:i w:val="0"/>
        </w:rPr>
        <w:t>Liability for breach of such warranties shall be capped at the consideration received by such Tag-Right Holder. Tag-Right Holders shall not be required to provide business / operational warranties (which shall be the responsibility of the Tagging Sellers / Founders).</w:t>
      </w:r>
    </w:p>
    <w:p>
      <w:pPr>
        <w:spacing w:before="240" w:after="80"/>
        <w:pBdr>
          <w:bottom w:val="single" w:sz="6" w:space="1" w:color="002060"/>
        </w:pBdr>
      </w:pPr>
      <w:r>
        <w:rPr>
          <w:b/>
          <w:color w:val="002060"/>
          <w:sz w:val="25"/>
        </w:rPr>
        <w:t>6.  COMPLIANCE</w:t>
      </w:r>
    </w:p>
    <w:p>
      <w:pPr>
        <w:spacing w:before="80"/>
        <w:jc w:val="both"/>
      </w:pPr>
      <w:r>
        <w:rPr>
          <w:b/>
        </w:rPr>
        <w:t xml:space="preserve">6.1 </w:t>
      </w:r>
      <w:r>
        <w:rPr>
          <w:b/>
        </w:rPr>
        <w:t xml:space="preserve">Articles &amp; Cap Table. </w:t>
      </w:r>
      <w:r>
        <w:t>All Transfers under this Agreement shall be reflected in the Articles of Association (to the extent of any required amendment), the Register of Members, and statutory filings (Form MGT-7 / MGT-7A) as required by the Act.</w:t>
      </w:r>
    </w:p>
    <w:p>
      <w:pPr>
        <w:spacing w:before="80"/>
        <w:jc w:val="both"/>
      </w:pPr>
      <w:r>
        <w:rPr>
          <w:b/>
        </w:rPr>
        <w:t xml:space="preserve">6.2 </w:t>
      </w:r>
      <w:r>
        <w:rPr>
          <w:b/>
        </w:rPr>
        <w:t xml:space="preserve">FEMA. </w:t>
      </w:r>
      <w:r>
        <w:t>Where the Proposed Transferee or any Tag-Right Holder is a non-resident, the Parties shall comply with the FEMA NDI Rules, 2019, including pricing floor (FMV under DCF certified by a CA / Merchant Banker), Form FC-TRS via FIRMS portal within 60 days, and Press Note 3 (2020) approval where applicable.</w:t>
      </w:r>
    </w:p>
    <w:p>
      <w:pPr>
        <w:spacing w:before="80"/>
        <w:jc w:val="both"/>
      </w:pPr>
      <w:r>
        <w:rPr>
          <w:b/>
        </w:rPr>
        <w:t xml:space="preserve">6.3 </w:t>
      </w:r>
      <w:r>
        <w:rPr>
          <w:b/>
        </w:rPr>
        <w:t xml:space="preserve">CCI. </w:t>
      </w:r>
      <w:r>
        <w:t>If the proposed Transfer constitutes a “combination” under Section 5 of the Competition Act, 2002, CCI approval shall be obtained by the Proposed Transferee, with reasonable cooperation from the Parties.</w:t>
      </w:r>
    </w:p>
    <w:p>
      <w:pPr>
        <w:spacing w:before="80"/>
        <w:jc w:val="both"/>
      </w:pPr>
      <w:r>
        <w:rPr>
          <w:b/>
        </w:rPr>
        <w:t xml:space="preserve">6.4 </w:t>
      </w:r>
      <w:r>
        <w:rPr>
          <w:b/>
        </w:rPr>
        <w:t xml:space="preserve">Tax. </w:t>
      </w:r>
      <w:r>
        <w:t>Capital gains tax shall be borne by each Selling Shareholder on its respective sale proceeds. The Proposed Transferee shall deduct TDS under Section 195 (NR) / 194-IA (if applicable) as required.</w:t>
      </w:r>
    </w:p>
    <w:p>
      <w:pPr>
        <w:spacing w:before="80"/>
        <w:jc w:val="both"/>
      </w:pPr>
      <w:r>
        <w:rPr>
          <w:b/>
        </w:rPr>
        <w:t xml:space="preserve">6.5 </w:t>
      </w:r>
      <w:r>
        <w:rPr>
          <w:b/>
        </w:rPr>
        <w:t xml:space="preserve">Stamp Duty. </w:t>
      </w:r>
      <w:r>
        <w:t>Stamp duty on Share Transfer: 0.015% under Article 62 of the Indian Stamp Act, 1899 (uniform post-2020 amendment), to be borne as per Parties’ agreement / State practice.</w:t>
      </w:r>
    </w:p>
    <w:p>
      <w:pPr>
        <w:spacing w:before="240" w:after="80"/>
        <w:pBdr>
          <w:bottom w:val="single" w:sz="6" w:space="1" w:color="002060"/>
        </w:pBdr>
      </w:pPr>
      <w:r>
        <w:rPr>
          <w:b/>
          <w:color w:val="002060"/>
          <w:sz w:val="25"/>
        </w:rPr>
        <w:t>7.  INTERPLAY WITH OTHER TRANSFER RESTRICTIONS</w:t>
      </w:r>
    </w:p>
    <w:p>
      <w:pPr>
        <w:spacing w:before="80"/>
        <w:jc w:val="both"/>
      </w:pPr>
      <w:r>
        <w:rPr>
          <w:b/>
        </w:rPr>
        <w:t xml:space="preserve">7.1 </w:t>
      </w:r>
      <w:r>
        <w:rPr>
          <w:b/>
        </w:rPr>
        <w:t xml:space="preserve">ROFR / ROFO Interplay. </w:t>
      </w:r>
      <w:r>
        <w:t>Where the Tagging Seller’s proposed Transfer is also subject to a Right of First Refusal or Right of First Offer in favour of the Tag-Right Holders (or others), the ROFR / ROFO procedure shall be exhausted first. If the ROFR / ROFO is not fully exercised, the residual Securities to be Transferred to the Proposed Transferee shall be subject to this Tag-Along procedure.</w:t>
      </w:r>
    </w:p>
    <w:p>
      <w:pPr>
        <w:spacing w:before="80"/>
        <w:jc w:val="both"/>
      </w:pPr>
      <w:r>
        <w:rPr>
          <w:b/>
        </w:rPr>
        <w:t xml:space="preserve">7.2 </w:t>
      </w:r>
      <w:r>
        <w:rPr>
          <w:b/>
        </w:rPr>
        <w:t xml:space="preserve">Drag-Along Override. </w:t>
      </w:r>
      <w:r>
        <w:t>Where a valid Drag Notice is issued by the Dragging Shareholders, the drag-along shall override this tag-along (and the Tag-Right Holders shall be Dragged subject to the Drag Price Floor).</w:t>
      </w:r>
    </w:p>
    <w:p>
      <w:pPr>
        <w:spacing w:before="240" w:after="80"/>
        <w:pBdr>
          <w:bottom w:val="single" w:sz="6" w:space="1" w:color="002060"/>
        </w:pBdr>
      </w:pPr>
      <w:r>
        <w:rPr>
          <w:b/>
          <w:color w:val="002060"/>
          <w:sz w:val="25"/>
        </w:rPr>
        <w:t>8.  REMEDIES FOR DEFAULT</w:t>
      </w:r>
    </w:p>
    <w:p>
      <w:pPr>
        <w:spacing w:before="80"/>
        <w:jc w:val="both"/>
      </w:pPr>
      <w:r>
        <w:rPr>
          <w:b/>
        </w:rPr>
        <w:t xml:space="preserve">8.1 </w:t>
      </w:r>
      <w:r>
        <w:rPr>
          <w:b/>
        </w:rPr>
        <w:t xml:space="preserve">Specific Performance. </w:t>
      </w:r>
      <w:r>
        <w:t>The Parties acknowledge that monetary damages would be an inadequate remedy for breach of this Agreement. The Tag-Right Holders shall be entitled to specific performance under Sections 10–14 of the Specific Relief Act, 1963, and to injunctive relief, in addition to all other remedies.</w:t>
      </w:r>
    </w:p>
    <w:p>
      <w:pPr>
        <w:spacing w:before="80"/>
        <w:jc w:val="both"/>
      </w:pPr>
      <w:r>
        <w:rPr>
          <w:b/>
        </w:rPr>
        <w:t xml:space="preserve">8.2 </w:t>
      </w:r>
      <w:r>
        <w:rPr>
          <w:b/>
        </w:rPr>
        <w:t xml:space="preserve">Indemnity. </w:t>
      </w:r>
      <w:r>
        <w:t>A Tagging Seller in breach of this Agreement shall indemnify the Tag-Right Holders against all losses, including loss of the price differential and ancillary costs.</w:t>
      </w:r>
    </w:p>
    <w:p>
      <w:pPr>
        <w:spacing w:before="80"/>
        <w:jc w:val="both"/>
      </w:pPr>
      <w:r>
        <w:rPr>
          <w:b/>
        </w:rPr>
        <w:t xml:space="preserve">8.3 </w:t>
      </w:r>
      <w:r>
        <w:rPr>
          <w:b/>
        </w:rPr>
        <w:t xml:space="preserve">Company Refusal to Register. </w:t>
      </w:r>
      <w:r>
        <w:t>The Company shall refuse to register any Transfer attempted in breach of this Agreement, and shall ensure that the Articles authorise it to do so.</w:t>
      </w:r>
    </w:p>
    <w:p>
      <w:pPr>
        <w:spacing w:before="240" w:after="80"/>
        <w:pBdr>
          <w:bottom w:val="single" w:sz="6" w:space="1" w:color="002060"/>
        </w:pBdr>
      </w:pPr>
      <w:r>
        <w:rPr>
          <w:b/>
          <w:color w:val="002060"/>
          <w:sz w:val="25"/>
        </w:rPr>
        <w:t>9.  REPRESENTATIONS AND WARRANTIES</w:t>
      </w:r>
    </w:p>
    <w:p>
      <w:pPr>
        <w:spacing w:before="80"/>
        <w:jc w:val="both"/>
      </w:pPr>
      <w:r>
        <w:rPr>
          <w:b/>
        </w:rPr>
        <w:t xml:space="preserve">9.1 </w:t>
      </w:r>
      <w:r>
        <w:rPr>
          <w:b/>
        </w:rPr>
        <w:t xml:space="preserve">Mutual. </w:t>
      </w:r>
      <w:r>
        <w:t>Each Party represents and warrants (a) legal capacity and authority; (b) binding obligations; (c) no conflict with other agreements; (d) no insolvency / winding-up.</w:t>
      </w:r>
    </w:p>
    <w:p>
      <w:pPr>
        <w:spacing w:before="240" w:after="80"/>
        <w:pBdr>
          <w:bottom w:val="single" w:sz="6" w:space="1" w:color="002060"/>
        </w:pBdr>
      </w:pPr>
      <w:r>
        <w:rPr>
          <w:b/>
          <w:color w:val="002060"/>
          <w:sz w:val="25"/>
        </w:rPr>
        <w:t>10.  TERM AND TERMINATION</w:t>
      </w:r>
    </w:p>
    <w:p>
      <w:pPr>
        <w:spacing w:before="80"/>
        <w:jc w:val="both"/>
      </w:pPr>
      <w:r>
        <w:rPr>
          <w:b/>
        </w:rPr>
        <w:t xml:space="preserve">10.1 </w:t>
      </w:r>
      <w:r>
        <w:rPr>
          <w:b/>
        </w:rPr>
        <w:t xml:space="preserve">Term. </w:t>
      </w:r>
      <w:r>
        <w:t>This Agreement shall come into force on the Effective Date and continue until (a) a Qualified IPO of the Company; (b) only Tagging Sellers or only Tag-Right Holders remain; or (c) unanimous written termination by all Parties.</w:t>
      </w:r>
    </w:p>
    <w:p>
      <w:pPr>
        <w:spacing w:before="80"/>
        <w:jc w:val="both"/>
      </w:pPr>
      <w:r>
        <w:rPr>
          <w:b/>
        </w:rPr>
        <w:t xml:space="preserve">10.2 </w:t>
      </w:r>
      <w:r>
        <w:rPr>
          <w:b/>
        </w:rPr>
        <w:t xml:space="preserve">Survival. </w:t>
      </w:r>
      <w:r>
        <w:t>Accrued rights and Clauses 1, 8, 9, 11, 12, 13 shall survive termination.</w:t>
      </w:r>
    </w:p>
    <w:p>
      <w:pPr>
        <w:spacing w:before="240" w:after="80"/>
        <w:pBdr>
          <w:bottom w:val="single" w:sz="6" w:space="1" w:color="002060"/>
        </w:pBdr>
      </w:pPr>
      <w:r>
        <w:rPr>
          <w:b/>
          <w:color w:val="002060"/>
          <w:sz w:val="25"/>
        </w:rPr>
        <w:t>11.  CONFIDENTIALITY</w:t>
      </w:r>
    </w:p>
    <w:p>
      <w:pPr>
        <w:spacing w:before="80"/>
        <w:jc w:val="both"/>
      </w:pPr>
      <w:r>
        <w:rPr>
          <w:b/>
        </w:rPr>
        <w:t xml:space="preserve">11.1 </w:t>
      </w:r>
      <w:r>
        <w:rPr>
          <w:b/>
        </w:rPr>
        <w:t xml:space="preserve">Obligation. </w:t>
      </w:r>
      <w:r>
        <w:t>Each Party shall hold the existence and terms of this Agreement and any Tag Trigger Notice / Tag Acceptance Notice in strict confidence, save (a) to advisors under confidentiality; (b) as required by law / regulator; or (c) to LPs / funders of Tag-Right Holders.</w:t>
      </w:r>
    </w:p>
    <w:p>
      <w:pPr>
        <w:spacing w:before="240" w:after="80"/>
        <w:pBdr>
          <w:bottom w:val="single" w:sz="6" w:space="1" w:color="002060"/>
        </w:pBdr>
      </w:pPr>
      <w:r>
        <w:rPr>
          <w:b/>
          <w:color w:val="002060"/>
          <w:sz w:val="25"/>
        </w:rPr>
        <w:t>12.  GOVERNING LAW AND DISPUTE RESOLUTION</w:t>
      </w:r>
    </w:p>
    <w:p>
      <w:pPr>
        <w:spacing w:before="80"/>
        <w:jc w:val="both"/>
      </w:pPr>
      <w:r>
        <w:rPr>
          <w:b/>
        </w:rPr>
        <w:t xml:space="preserve">12.1 </w:t>
      </w:r>
      <w:r>
        <w:rPr>
          <w:b/>
        </w:rPr>
        <w:t xml:space="preserve">Governing Law. </w:t>
      </w:r>
      <w:r>
        <w:t>Laws of the Republic of India.</w:t>
      </w:r>
    </w:p>
    <w:p>
      <w:pPr>
        <w:spacing w:before="80"/>
        <w:jc w:val="both"/>
      </w:pPr>
      <w:r>
        <w:rPr>
          <w:b/>
        </w:rPr>
        <w:t xml:space="preserve">12.2 </w:t>
      </w:r>
      <w:r>
        <w:rPr>
          <w:b/>
        </w:rPr>
        <w:t xml:space="preserve">Arbitration. </w:t>
      </w:r>
      <w:r>
        <w:t>Any Dispute, if not resolved by amicable negotiation within {{NEGOTIATION_DAYS}} days, shall be referred to arbitration under the Arbitration and Conciliation Act, 1996, by {{ARBITRATOR_NUMBER}} arbitrator(s) under the {{ARBITRATION_INSTITUTION_RULES}}. Seat: {{ARBITRATION_SEAT_CITY}}, India. Language: English.</w:t>
      </w:r>
    </w:p>
    <w:p>
      <w:pPr>
        <w:spacing w:before="80"/>
        <w:jc w:val="both"/>
      </w:pPr>
      <w:r>
        <w:rPr>
          <w:b/>
        </w:rPr>
        <w:t xml:space="preserve">12.3 </w:t>
      </w:r>
      <w:r>
        <w:rPr>
          <w:b/>
        </w:rPr>
        <w:t xml:space="preserve">Jurisdiction. </w:t>
      </w:r>
      <w:r>
        <w:t>Subject to Clause 12.2, courts at {{JURISDICTION_CITY}} shall have exclusive jurisdiction.</w:t>
      </w:r>
    </w:p>
    <w:p>
      <w:pPr>
        <w:spacing w:before="240" w:after="80"/>
        <w:pBdr>
          <w:bottom w:val="single" w:sz="6" w:space="1" w:color="002060"/>
        </w:pBdr>
      </w:pPr>
      <w:r>
        <w:rPr>
          <w:b/>
          <w:color w:val="002060"/>
          <w:sz w:val="25"/>
        </w:rPr>
        <w:t>13.  MISCELLANEOUS</w:t>
      </w:r>
    </w:p>
    <w:p>
      <w:pPr>
        <w:spacing w:before="80"/>
        <w:jc w:val="both"/>
      </w:pPr>
      <w:r>
        <w:rPr>
          <w:b/>
        </w:rPr>
        <w:t xml:space="preserve">13.1 </w:t>
      </w:r>
      <w:r>
        <w:rPr>
          <w:b/>
        </w:rPr>
        <w:t xml:space="preserve">Entire Agreement. </w:t>
      </w:r>
      <w:r>
        <w:t>This Agreement, read with the Articles, SSA and IRA, constitutes the entire understanding on the tag-along right.</w:t>
      </w:r>
    </w:p>
    <w:p>
      <w:pPr>
        <w:spacing w:before="80"/>
        <w:jc w:val="both"/>
      </w:pPr>
      <w:r>
        <w:rPr>
          <w:b/>
        </w:rPr>
        <w:t xml:space="preserve">13.2 </w:t>
      </w:r>
      <w:r>
        <w:rPr>
          <w:b/>
        </w:rPr>
        <w:t xml:space="preserve">Amendment. </w:t>
      </w:r>
      <w:r>
        <w:t>In writing signed by all Parties.</w:t>
      </w:r>
    </w:p>
    <w:p>
      <w:pPr>
        <w:spacing w:before="80"/>
        <w:jc w:val="both"/>
      </w:pPr>
      <w:r>
        <w:rPr>
          <w:b/>
        </w:rPr>
        <w:t xml:space="preserve">13.3 </w:t>
      </w:r>
      <w:r>
        <w:rPr>
          <w:b/>
        </w:rPr>
        <w:t xml:space="preserve">Notices. </w:t>
      </w:r>
      <w:r>
        <w:t>Per addresses in Schedule 2.</w:t>
      </w:r>
    </w:p>
    <w:p>
      <w:pPr>
        <w:spacing w:before="80"/>
        <w:jc w:val="both"/>
      </w:pPr>
      <w:r>
        <w:rPr>
          <w:b/>
        </w:rPr>
        <w:t xml:space="preserve">13.4 </w:t>
      </w:r>
      <w:r>
        <w:rPr>
          <w:b/>
        </w:rPr>
        <w:t xml:space="preserve">Counterparts &amp; E-Sign. </w:t>
      </w:r>
      <w:r>
        <w:t>May be executed in counterparts (including electronically under the IT Act, 2000).</w:t>
      </w:r>
    </w:p>
    <w:p>
      <w:pPr>
        <w:spacing w:before="80"/>
        <w:jc w:val="both"/>
      </w:pPr>
      <w:r>
        <w:rPr>
          <w:b/>
        </w:rPr>
        <w:t xml:space="preserve">13.5 </w:t>
      </w:r>
      <w:r>
        <w:rPr>
          <w:b/>
        </w:rPr>
        <w:t xml:space="preserve">Stamp Duty. </w:t>
      </w:r>
      <w:r>
        <w:t>Stamp duty payable under the applicable State Stamp Act shall be borne by the Company.</w:t>
      </w:r>
    </w:p>
    <w:p>
      <w:pPr>
        <w:spacing w:before="80"/>
        <w:jc w:val="both"/>
      </w:pPr>
      <w:r>
        <w:rPr>
          <w:b/>
        </w:rPr>
        <w:t xml:space="preserve">13.6 </w:t>
      </w:r>
      <w:r>
        <w:rPr>
          <w:b/>
        </w:rPr>
        <w:t xml:space="preserve">Severability and Waiver. </w:t>
      </w:r>
      <w:r>
        <w:t>Severability and no implied waiver.</w:t>
      </w:r>
    </w:p>
    <w:p>
      <w:pPr>
        <w:spacing w:before="80"/>
        <w:jc w:val="both"/>
      </w:pPr>
      <w:r>
        <w:rPr>
          <w:b/>
        </w:rPr>
        <w:t xml:space="preserve">13.7 </w:t>
      </w:r>
      <w:r>
        <w:rPr>
          <w:b/>
        </w:rPr>
        <w:t xml:space="preserve">Reflection in Articles. </w:t>
      </w:r>
      <w:r>
        <w:t>The Articles of Association of the Company shall, within {{ARTICLES_AMENDMENT_DAYS}} days, be amended to reflect the tag-along right set out in this Agreement, in accordance with Section 58(2) of the Act.</w:t>
      </w:r>
    </w:p>
    <w:p>
      <w:r>
        <w:br w:type="page"/>
      </w:r>
    </w:p>
    <w:p>
      <w:pPr>
        <w:spacing w:before="240" w:after="80"/>
        <w:pBdr>
          <w:bottom w:val="single" w:sz="6" w:space="1" w:color="002060"/>
        </w:pBdr>
      </w:pPr>
      <w:r>
        <w:rPr>
          <w:b/>
          <w:color w:val="002060"/>
          <w:sz w:val="25"/>
        </w:rPr>
        <w:t>IN WITNESS WHEREOF</w:t>
      </w:r>
    </w:p>
    <w:p>
      <w:pPr>
        <w:jc w:val="both"/>
      </w:pPr>
      <w:r>
        <w:rPr>
          <w:b/>
          <w:i w:val="0"/>
        </w:rPr>
        <w:t>IN WITNESS WHEREOF, the Parties have executed this Tag-Along Agreement on the day, month and year first hereinabove written.</w:t>
      </w:r>
    </w:p>
    <w:p/>
    <w:p>
      <w:pPr>
        <w:spacing w:before="360"/>
      </w:pPr>
      <w:r>
        <w:rPr>
          <w:b/>
          <w:sz w:val="22"/>
        </w:rPr>
        <w:t>For and on behalf of THE COMPANY ({{COMPANY_NAME}})</w:t>
      </w:r>
    </w:p>
    <w:p/>
    <w:p>
      <w:r>
        <w:t>_________________________________</w:t>
      </w:r>
    </w:p>
    <w:p>
      <w:r>
        <w:rPr>
          <w:b/>
        </w:rPr>
        <w:t>Name: {{AUTHORISED_SIGNATORY_NAME}}</w:t>
      </w:r>
    </w:p>
    <w:p>
      <w:r>
        <w:t>Designation: {{AUTHORISED_SIGNATORY_DESIGNATION}}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TAGGING SELLER 1</w:t>
      </w:r>
    </w:p>
    <w:p/>
    <w:p>
      <w:r>
        <w:t>_________________________________</w:t>
      </w:r>
    </w:p>
    <w:p>
      <w:r>
        <w:rPr>
          <w:b/>
        </w:rPr>
        <w:t>Name: {{TAGGING_SELLER_1_NAME}}</w:t>
      </w:r>
    </w:p>
    <w:p>
      <w:r>
        <w:t>Designation: {{TAGGING_SELLER_1_DESIGNATION}}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TAGGING SELLER 2</w:t>
      </w:r>
    </w:p>
    <w:p/>
    <w:p>
      <w:r>
        <w:t>_________________________________</w:t>
      </w:r>
    </w:p>
    <w:p>
      <w:r>
        <w:rPr>
          <w:b/>
        </w:rPr>
        <w:t>Name: {{TAGGING_SELLER_2_NAME}}</w:t>
      </w:r>
    </w:p>
    <w:p>
      <w:r>
        <w:t>Designation: {{TAGGING_SELLER_2_DESIGNATION}}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TAG-RIGHT HOLDER 1 ({{TAG_RIGHT_HOLDER_1_NAME}})</w:t>
      </w:r>
    </w:p>
    <w:p/>
    <w:p>
      <w:r>
        <w:t>_________________________________</w:t>
      </w:r>
    </w:p>
    <w:p>
      <w:r>
        <w:rPr>
          <w:b/>
        </w:rPr>
        <w:t>Name: {{TRH1_SIGNATORY_NAME}}</w:t>
      </w:r>
    </w:p>
    <w:p>
      <w:r>
        <w:t>Designation: {{TRH1_SIGNATORY_DESIGNATION}}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360"/>
      </w:pPr>
      <w:r>
        <w:rPr>
          <w:b/>
          <w:sz w:val="22"/>
        </w:rPr>
        <w:t>For and on behalf of TAG-RIGHT HOLDER 2 ({{TAG_RIGHT_HOLDER_2_NAME}})</w:t>
      </w:r>
    </w:p>
    <w:p/>
    <w:p>
      <w:r>
        <w:t>_________________________________</w:t>
      </w:r>
    </w:p>
    <w:p>
      <w:r>
        <w:rPr>
          <w:b/>
        </w:rPr>
        <w:t>Name: {{TRH2_SIGNATORY_NAME}}</w:t>
      </w:r>
    </w:p>
    <w:p>
      <w:r>
        <w:t>Designation: {{TRH2_SIGNATORY_DESIGNATION}}</w:t>
      </w:r>
    </w:p>
    <w:p>
      <w:r>
        <w:t>Date: {{SIGNATURE_DATE}}</w:t>
      </w:r>
    </w:p>
    <w:p>
      <w:r>
        <w:t>Place: {{SIGNATURE_PLACE}}</w:t>
      </w:r>
    </w:p>
    <w:p/>
    <w:p>
      <w:r>
        <w:rPr>
          <w:b/>
        </w:rPr>
        <w:t>Witness:</w:t>
      </w:r>
    </w:p>
    <w:p>
      <w:r>
        <w:t>1. Name: {{WITNESS_1_NAME}}    Signature: ____________________</w:t>
      </w:r>
    </w:p>
    <w:p>
      <w:r>
        <w:t xml:space="preserve">   Address: {{WITNESS_1_ADDRESS}}</w:t>
      </w:r>
    </w:p>
    <w:p>
      <w:r>
        <w:t>2. Name: {{WITNESS_2_NAME}}    Signature: ____________________</w:t>
      </w:r>
    </w:p>
    <w:p>
      <w:r>
        <w:t xml:space="preserve">   Address: {{WITNESS_2_ADDRESS}}</w:t>
      </w:r>
    </w:p>
    <w:p>
      <w:r>
        <w:br w:type="page"/>
      </w:r>
    </w:p>
    <w:p>
      <w:pPr>
        <w:spacing w:before="200" w:after="160"/>
        <w:jc w:val="center"/>
      </w:pPr>
      <w:r>
        <w:rPr>
          <w:b/>
          <w:color w:val="002060"/>
          <w:sz w:val="30"/>
        </w:rPr>
        <w:t>SCHEDULES</w:t>
      </w:r>
    </w:p>
    <w:p>
      <w:pPr>
        <w:spacing w:before="240" w:after="80"/>
        <w:pBdr>
          <w:bottom w:val="single" w:sz="6" w:space="1" w:color="002060"/>
        </w:pBdr>
      </w:pPr>
      <w:r>
        <w:rPr>
          <w:b/>
          <w:color w:val="002060"/>
          <w:sz w:val="25"/>
        </w:rPr>
        <w:t>SCHEDULE 1 — SHAREHOLDING AT EFFECTIVE DATE</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Shareholder</w:t>
            </w:r>
          </w:p>
        </w:tc>
        <w:tc>
          <w:tcPr>
            <w:tcW w:type="dxa" w:w="153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Role</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Securities</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Class</w:t>
            </w:r>
          </w:p>
        </w:tc>
        <w:tc>
          <w:tcPr>
            <w:tcW w:type="dxa" w:w="158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 (Fully Diluted)</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{{TAGGING_SELLER_1_NAME}}</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Tagging Seller</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{{TS1_SECURITIES}}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{{TS1_CLASS}}</w:t>
            </w:r>
          </w:p>
        </w:tc>
        <w:tc>
          <w:tcPr>
            <w:tcW w:type="dxa" w:w="1587"/>
            <w:tcBorders>
              <w:top w:val="single" w:sz="4" w:color="808080"/>
              <w:left w:val="single" w:sz="4" w:color="808080"/>
              <w:bottom w:val="single" w:sz="4" w:color="808080"/>
              <w:right w:val="single" w:sz="4" w:color="808080"/>
            </w:tcBorders>
            <w:vAlign w:val="center"/>
          </w:tcPr>
          <w:p>
            <w:pPr>
              <w:jc w:val="left"/>
            </w:pPr>
            <w:r/>
            <w:r>
              <w:rPr>
                <w:sz w:val="21"/>
              </w:rPr>
              <w:t>{{TS1_PERCENT}}%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{{TAGGING_SELLER_2_NAME}}</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Tagging Seller</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{{TS2_SECURITIES}}</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{{TS2_CLASS}}</w:t>
            </w:r>
          </w:p>
        </w:tc>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{{TS2_PERCENT}}%</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{{TAG_RIGHT_HOLDER_1_NAME}}</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Tag-Right Holder</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{{TRH1_SECURITIES}}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{{TRH1_CLASS}}</w:t>
            </w:r>
          </w:p>
        </w:tc>
        <w:tc>
          <w:tcPr>
            <w:tcW w:type="dxa" w:w="1587"/>
            <w:tcBorders>
              <w:top w:val="single" w:sz="4" w:color="808080"/>
              <w:left w:val="single" w:sz="4" w:color="808080"/>
              <w:bottom w:val="single" w:sz="4" w:color="808080"/>
              <w:right w:val="single" w:sz="4" w:color="808080"/>
            </w:tcBorders>
            <w:vAlign w:val="center"/>
          </w:tcPr>
          <w:p>
            <w:pPr>
              <w:jc w:val="left"/>
            </w:pPr>
            <w:r/>
            <w:r>
              <w:rPr>
                <w:sz w:val="21"/>
              </w:rPr>
              <w:t>{{TRH1_PERCENT}}%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{{TAG_RIGHT_HOLDER_2_NAME}}</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Tag-Right Holder</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{{TRH2_SECURITIES}}</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{{TRH2_CLASS}}</w:t>
            </w:r>
          </w:p>
        </w:tc>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{{TRH2_PERCENT}}%</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ESOP Pool</w:t>
            </w:r>
          </w:p>
        </w:tc>
        <w:tc>
          <w:tcPr>
            <w:tcW w:type="dxa" w:w="1531"/>
            <w:tcBorders>
              <w:top w:val="single" w:sz="4" w:color="808080"/>
              <w:left w:val="single" w:sz="4" w:color="808080"/>
              <w:bottom w:val="single" w:sz="4" w:color="808080"/>
              <w:right w:val="single" w:sz="4" w:color="808080"/>
            </w:tcBorders>
            <w:vAlign w:val="center"/>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{{ESOP_POOL_SECURITIES}}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Options</w:t>
            </w:r>
          </w:p>
        </w:tc>
        <w:tc>
          <w:tcPr>
            <w:tcW w:type="dxa" w:w="1587"/>
            <w:tcBorders>
              <w:top w:val="single" w:sz="4" w:color="808080"/>
              <w:left w:val="single" w:sz="4" w:color="808080"/>
              <w:bottom w:val="single" w:sz="4" w:color="808080"/>
              <w:right w:val="single" w:sz="4" w:color="808080"/>
            </w:tcBorders>
            <w:vAlign w:val="center"/>
          </w:tcPr>
          <w:p>
            <w:pPr>
              <w:jc w:val="left"/>
            </w:pPr>
            <w:r/>
            <w:r>
              <w:rPr>
                <w:sz w:val="21"/>
              </w:rPr>
              <w:t>{{ESOP_POOL_PERCENT}}%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Total</w:t>
            </w:r>
          </w:p>
        </w:tc>
        <w:tc>
          <w:tcPr>
            <w:tcW w:type="dxa" w:w="153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{{TOTAL_SECURITIES}}</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c>
          <w:tcPr>
            <w:tcW w:type="dxa" w:w="158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100%</w:t>
            </w:r>
          </w:p>
        </w:tc>
      </w:tr>
    </w:tbl>
    <w:p/>
    <w:p>
      <w:r>
        <w:br w:type="page"/>
      </w:r>
    </w:p>
    <w:p>
      <w:pPr>
        <w:spacing w:before="240" w:after="80"/>
        <w:pBdr>
          <w:bottom w:val="single" w:sz="6" w:space="1" w:color="002060"/>
        </w:pBdr>
      </w:pPr>
      <w:r>
        <w:rPr>
          <w:b/>
          <w:color w:val="002060"/>
          <w:sz w:val="25"/>
        </w:rPr>
        <w:t>SCHEDULE 2 — NOTICES</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Party</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Address</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Email</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Attention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{{COMPANY_NAME}}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{{COMPANY_NOTICE_ADDRESS}}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{{COMPANY_NOTICE_EMAIL}}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{{COMPANY_NOTICE_ATTENTION}}</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{{TAGGING_SELLER_1_NAME}}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{{TS1_NOTICE_ADDRESS}}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{{TS1_EMAIL}}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Self</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{{TAGGING_SELLER_2_NAME}}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{{TS2_NOTICE_ADDRESS}}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{{TS2_EMAIL}}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Self</w:t>
            </w:r>
          </w:p>
        </w:tc>
      </w:tr>
      <w:tr>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{{TAG_RIGHT_HOLDER_1_NAME}}</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{{TRH1_NOTICE_ADDRESS}}</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{{TRH1_EMAIL}}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{{TRH1_ATTN}}</w:t>
            </w:r>
          </w:p>
        </w:tc>
      </w:tr>
      <w:tr>
        <w:tc>
          <w:tcPr>
            <w:tcW w:type="dxa" w:w="1984"/>
            <w:tcBorders>
              <w:top w:val="single" w:sz="4" w:color="808080"/>
              <w:left w:val="single" w:sz="4" w:color="808080"/>
              <w:bottom w:val="single" w:sz="4" w:color="808080"/>
              <w:right w:val="single" w:sz="4" w:color="808080"/>
            </w:tcBorders>
            <w:vAlign w:val="center"/>
          </w:tcPr>
          <w:p>
            <w:pPr>
              <w:jc w:val="left"/>
            </w:pPr>
            <w:r/>
            <w:r>
              <w:rPr>
                <w:b/>
                <w:sz w:val="21"/>
              </w:rPr>
              <w:t>{{TAG_RIGHT_HOLDER_2_NAME}}</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{{TRH2_NOTICE_ADDRESS}}</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{{TRH2_EMAIL}}</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{{TRH2_ATTN}}</w:t>
            </w:r>
          </w:p>
        </w:tc>
      </w:tr>
    </w:tbl>
    <w:p/>
    <w:p>
      <w:r>
        <w:br w:type="page"/>
      </w:r>
    </w:p>
    <w:p>
      <w:pPr>
        <w:spacing w:before="240" w:after="80"/>
        <w:pBdr>
          <w:bottom w:val="single" w:sz="6" w:space="1" w:color="002060"/>
        </w:pBdr>
      </w:pPr>
      <w:r>
        <w:rPr>
          <w:b/>
          <w:color w:val="002060"/>
          <w:sz w:val="25"/>
        </w:rPr>
        <w:t>SCHEDULE 3 — FORM OF TAG TRIGGER NOTICE</w:t>
      </w:r>
    </w:p>
    <w:p>
      <w:pPr>
        <w:jc w:val="both"/>
      </w:pPr>
      <w:r>
        <w:rPr>
          <w:b w:val="0"/>
          <w:i/>
        </w:rPr>
        <w:t>[Date]</w:t>
      </w:r>
    </w:p>
    <w:p>
      <w:pPr>
        <w:jc w:val="both"/>
      </w:pPr>
      <w:r>
        <w:rPr>
          <w:b w:val="0"/>
          <w:i w:val="0"/>
        </w:rPr>
        <w:t>To: The Tag-Right Holders (per Schedule 1)</w:t>
      </w:r>
    </w:p>
    <w:p>
      <w:pPr>
        <w:jc w:val="both"/>
      </w:pPr>
      <w:r>
        <w:rPr>
          <w:b w:val="0"/>
          <w:i w:val="0"/>
        </w:rPr>
        <w:t>Cc: {{COMPANY_NAME}}</w:t>
      </w:r>
    </w:p>
    <w:p>
      <w:pPr>
        <w:jc w:val="both"/>
      </w:pPr>
      <w:r>
        <w:rPr>
          <w:b w:val="0"/>
          <w:i w:val="0"/>
        </w:rPr>
        <w:t>Re: Tag Trigger Notice under the Tag-Along Agreement dated {{EFFECTIVE_DATE}}.</w:t>
      </w:r>
    </w:p>
    <w:p>
      <w:pPr>
        <w:jc w:val="both"/>
      </w:pPr>
      <w:r>
        <w:rPr>
          <w:b w:val="0"/>
          <w:i w:val="0"/>
        </w:rPr>
        <w:t>I/We, [Tagging Seller], propose to Transfer the following Securities, which Transfer crosses the Tag Trigger Threshold and accordingly triggers your Tag-Along Right:</w:t>
      </w:r>
    </w:p>
    <w:tbl>
      <w:tblPr>
        <w:tblW w:type="auto" w:w="0"/>
        <w:jc w:val="center"/>
        <w:tblLayout w:type="fixed"/>
        <w:tblLook w:firstColumn="1" w:firstRow="1" w:lastColumn="0" w:lastRow="0" w:noHBand="0" w:noVBand="1" w:val="04A0"/>
      </w:tblPr>
      <w:tblGrid>
        <w:gridCol w:w="4873"/>
        <w:gridCol w:w="4873"/>
      </w:tblGrid>
      <w:tr>
        <w:tc>
          <w:tcPr>
            <w:tcW w:type="dxa" w:w="3685"/>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6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Proposed Transferee (Name, Address, UBO)</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Class &amp; No. of Securities to be Transferred</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Price per Security (₹)</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Aggregate Consideration (₹)</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Form of Consideration</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Cash / Listed Securities / Other</w:t>
            </w:r>
          </w:p>
        </w:tc>
      </w:tr>
      <w:tr>
        <w:tc>
          <w:tcPr>
            <w:tcW w:type="dxa" w:w="3685"/>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Material Terms</w:t>
            </w:r>
          </w:p>
        </w:tc>
        <w:tc>
          <w:tcPr>
            <w:tcW w:type="dxa" w:w="5669"/>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685"/>
            <w:tcBorders>
              <w:top w:val="single" w:sz="4" w:color="808080"/>
              <w:left w:val="single" w:sz="4" w:color="808080"/>
              <w:bottom w:val="single" w:sz="4" w:color="808080"/>
              <w:right w:val="single" w:sz="4" w:color="808080"/>
            </w:tcBorders>
            <w:vAlign w:val="center"/>
          </w:tcPr>
          <w:p>
            <w:pPr>
              <w:jc w:val="left"/>
            </w:pPr>
            <w:r/>
            <w:r>
              <w:rPr>
                <w:b/>
                <w:sz w:val="21"/>
              </w:rPr>
              <w:t>Proposed Closing Date</w:t>
            </w:r>
          </w:p>
        </w:tc>
        <w:tc>
          <w:tcPr>
            <w:tcW w:type="dxa" w:w="5669"/>
            <w:tcBorders>
              <w:top w:val="single" w:sz="4" w:color="808080"/>
              <w:left w:val="single" w:sz="4" w:color="808080"/>
              <w:bottom w:val="single" w:sz="4" w:color="808080"/>
              <w:right w:val="single" w:sz="4" w:color="808080"/>
            </w:tcBorders>
            <w:vAlign w:val="center"/>
          </w:tcPr>
          <w:p>
            <w:pPr>
              <w:jc w:val="left"/>
            </w:pPr>
            <w:r/>
            <w:r>
              <w:rPr>
                <w:sz w:val="21"/>
              </w:rPr>
              <w:t>[●]</w:t>
            </w:r>
          </w:p>
        </w:tc>
      </w:tr>
    </w:tbl>
    <w:p/>
    <w:p>
      <w:pPr>
        <w:jc w:val="both"/>
      </w:pPr>
      <w:r>
        <w:rPr>
          <w:b w:val="0"/>
          <w:i w:val="0"/>
        </w:rPr>
        <w:t>Attached: copy of the Proposed Transferee’s bona-fide written offer / term sheet.</w:t>
      </w:r>
    </w:p>
    <w:p>
      <w:pPr>
        <w:jc w:val="both"/>
      </w:pPr>
      <w:r>
        <w:rPr>
          <w:b w:val="0"/>
          <w:i w:val="0"/>
        </w:rPr>
        <w:t>You may elect to tag along by issuing a Tag Acceptance Notice within {{TAG_RESPONSE_DAYS}} Business Days, in accordance with Clause 3.3 of the Agreement.</w:t>
      </w:r>
    </w:p>
    <w:p>
      <w:pPr>
        <w:jc w:val="both"/>
      </w:pPr>
      <w:r>
        <w:rPr>
          <w:b w:val="0"/>
          <w:i w:val="0"/>
        </w:rPr>
        <w:t>Sincerely, [Tagging Seller]</w:t>
      </w:r>
    </w:p>
    <w:p>
      <w:r>
        <w:br w:type="page"/>
      </w:r>
    </w:p>
    <w:p>
      <w:pPr>
        <w:spacing w:before="240" w:after="80"/>
        <w:pBdr>
          <w:bottom w:val="single" w:sz="6" w:space="1" w:color="002060"/>
        </w:pBdr>
      </w:pPr>
      <w:r>
        <w:rPr>
          <w:b/>
          <w:color w:val="002060"/>
          <w:sz w:val="25"/>
        </w:rPr>
        <w:t>SCHEDULE 4 — FORM OF TAG ACCEPTANCE NOTICE</w:t>
      </w:r>
    </w:p>
    <w:p>
      <w:pPr>
        <w:jc w:val="both"/>
      </w:pPr>
      <w:r>
        <w:rPr>
          <w:b w:val="0"/>
          <w:i/>
        </w:rPr>
        <w:t>[Date]</w:t>
      </w:r>
    </w:p>
    <w:p>
      <w:pPr>
        <w:jc w:val="both"/>
      </w:pPr>
      <w:r>
        <w:rPr>
          <w:b w:val="0"/>
          <w:i w:val="0"/>
        </w:rPr>
        <w:t>To: [Tagging Seller]</w:t>
      </w:r>
    </w:p>
    <w:p>
      <w:pPr>
        <w:jc w:val="both"/>
      </w:pPr>
      <w:r>
        <w:rPr>
          <w:b w:val="0"/>
          <w:i w:val="0"/>
        </w:rPr>
        <w:t>Cc: {{COMPANY_NAME}}, Proposed Transferee, and the other Parties to the Agreement</w:t>
      </w:r>
    </w:p>
    <w:p>
      <w:pPr>
        <w:jc w:val="both"/>
      </w:pPr>
      <w:r>
        <w:rPr>
          <w:b w:val="0"/>
          <w:i w:val="0"/>
        </w:rPr>
        <w:t>Re: Tag Acceptance Notice under the Tag-Along Agreement dated {{EFFECTIVE_DATE}}, in respect of your Tag Trigger Notice dated [●].</w:t>
      </w:r>
    </w:p>
    <w:p>
      <w:pPr>
        <w:jc w:val="both"/>
      </w:pPr>
      <w:r>
        <w:rPr>
          <w:b w:val="0"/>
          <w:i w:val="0"/>
        </w:rPr>
        <w:t>I/We, [Tag-Right Holder], hereby exercise our Tag-Along Right and elect to include the following Tag Securities in the proposed Transfer to the Proposed Transferee, on the same terms (per Security) as set out in your Tag Trigger Notice:</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Pro-Rata Entitlement (No. of Securities)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 of Tag Securities Elected</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Class of Tag Securities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Form of Consideration Elected (Cash / Non-cash)</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Bank Account for Remittance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Expected Closing Date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bl>
    <w:p/>
    <w:p>
      <w:pPr>
        <w:jc w:val="both"/>
      </w:pPr>
      <w:r>
        <w:rPr>
          <w:b w:val="0"/>
          <w:i w:val="0"/>
        </w:rPr>
        <w:t>We confirm that we shall execute the customary closing documents (Form SH-4, share purchase / exit agreement, etc.) at Closing, subject to the limited warranties set out in Clause 5 of the Agreement.</w:t>
      </w:r>
    </w:p>
    <w:p>
      <w:pPr>
        <w:jc w:val="both"/>
      </w:pPr>
      <w:r>
        <w:rPr>
          <w:b w:val="0"/>
          <w:i w:val="0"/>
        </w:rPr>
        <w:t>Sincerely, [Tag-Right Holder]</w:t>
      </w:r>
    </w:p>
    <w:p>
      <w:r>
        <w:br w:type="page"/>
      </w:r>
    </w:p>
    <w:p>
      <w:pPr>
        <w:spacing w:before="240" w:after="80"/>
        <w:pBdr>
          <w:bottom w:val="single" w:sz="6" w:space="1" w:color="002060"/>
        </w:pBdr>
      </w:pPr>
      <w:r>
        <w:rPr>
          <w:b/>
          <w:color w:val="002060"/>
          <w:sz w:val="25"/>
        </w:rPr>
        <w:t>DRAFTING NOTES (REMOVE BEFORE EXECUTION)</w:t>
      </w:r>
    </w:p>
    <w:p>
      <w:pPr>
        <w:pStyle w:val="ListBullet"/>
        <w:spacing w:after="40"/>
        <w:ind w:left="567"/>
        <w:jc w:val="both"/>
      </w:pPr>
      <w:r>
        <w:t>Tag-along provisions are enforceable in private companies under Section 58(2) of the Companies Act, 2013, when reflected in the Articles (*Messer Holdings*, *Vodafone International Holdings*, *World Phone India* line of cases).</w:t>
      </w:r>
    </w:p>
    <w:p>
      <w:pPr>
        <w:pStyle w:val="ListBullet"/>
        <w:spacing w:after="40"/>
        <w:ind w:left="567"/>
        <w:jc w:val="both"/>
      </w:pPr>
      <w:r>
        <w:t>For non-resident Proposed Transferee or Tag-Right Holder, FEMA NDI Rules, 2019 compliance is mandatory: pricing floor (DCF), Form FC-TRS via FIRMS portal within 60 days; Press Note 3 (2020) approval if from a land-border country.</w:t>
      </w:r>
    </w:p>
    <w:p>
      <w:pPr>
        <w:pStyle w:val="ListBullet"/>
        <w:spacing w:after="40"/>
        <w:ind w:left="567"/>
        <w:jc w:val="both"/>
      </w:pPr>
      <w:r>
        <w:t>Tag-Right Holders typically negotiate broader tag (full tag for any Transfer by founders); founders typically negotiate narrower tag (only for Transfers exceeding a threshold). Set the threshold deliberately.</w:t>
      </w:r>
    </w:p>
    <w:p>
      <w:pPr>
        <w:pStyle w:val="ListBullet"/>
        <w:spacing w:after="40"/>
        <w:ind w:left="567"/>
        <w:jc w:val="both"/>
      </w:pPr>
      <w:r>
        <w:t>Tag-Along should be coordinated with ROFR / ROFO so that procedures are sequential, not contradictory.</w:t>
      </w:r>
    </w:p>
    <w:p>
      <w:pPr>
        <w:pStyle w:val="ListBullet"/>
        <w:spacing w:after="40"/>
        <w:ind w:left="567"/>
        <w:jc w:val="both"/>
      </w:pPr>
      <w:r>
        <w:t>Drag-Along will override Tag-Along where a valid drag is exercised; Tag-Along may however be combined with ROFR as a fallback if drag is not exercised.</w:t>
      </w:r>
    </w:p>
    <w:p>
      <w:pPr>
        <w:pStyle w:val="ListBullet"/>
        <w:spacing w:after="40"/>
        <w:ind w:left="567"/>
        <w:jc w:val="both"/>
      </w:pPr>
      <w:r>
        <w:t>Capital gains tax in hands of Selling Shareholders; TDS by Proposed Transferee under Section 195 (NR) where applicable.</w:t>
      </w:r>
    </w:p>
    <w:p>
      <w:pPr>
        <w:pStyle w:val="ListBullet"/>
        <w:spacing w:after="40"/>
        <w:ind w:left="567"/>
        <w:jc w:val="both"/>
      </w:pPr>
      <w:r>
        <w:t>Stamp duty on Share Transfer: 0.015% (Article 62 of Indian Stamp Act, 1899, post-2020 uniform amendment).</w:t>
      </w:r>
    </w:p>
    <w:p>
      <w:pPr>
        <w:pStyle w:val="ListBullet"/>
        <w:spacing w:after="40"/>
        <w:ind w:left="567"/>
        <w:jc w:val="both"/>
      </w:pPr>
      <w:r>
        <w:t>Update Articles of Association to mirror tag-along; the AoA gives the Company authority to refuse registration of any non-compliant Transfer.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